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FCD52" w14:textId="77777777" w:rsidR="009A019A" w:rsidRDefault="00D37F09" w:rsidP="00DE7FA9">
      <w:pPr>
        <w:spacing w:after="0" w:line="240" w:lineRule="auto"/>
        <w:jc w:val="center"/>
        <w:rPr>
          <w:b/>
          <w:bCs/>
          <w:color w:val="532D6D"/>
          <w:sz w:val="22"/>
          <w:szCs w:val="22"/>
        </w:rPr>
      </w:pPr>
      <w:r>
        <w:rPr>
          <w:b/>
          <w:bCs/>
          <w:color w:val="532D6D"/>
          <w:sz w:val="22"/>
          <w:szCs w:val="22"/>
        </w:rPr>
        <w:t xml:space="preserve">Improving Productivity Through More Effective Healthcare: </w:t>
      </w:r>
    </w:p>
    <w:p w14:paraId="03F32299" w14:textId="09DE9D93" w:rsidR="00200605" w:rsidRPr="008442F1" w:rsidRDefault="00D37F09" w:rsidP="00DE7FA9">
      <w:pPr>
        <w:spacing w:after="0" w:line="240" w:lineRule="auto"/>
        <w:jc w:val="center"/>
        <w:rPr>
          <w:b/>
          <w:bCs/>
          <w:color w:val="532D6D"/>
          <w:sz w:val="22"/>
          <w:szCs w:val="22"/>
        </w:rPr>
      </w:pPr>
      <w:r>
        <w:rPr>
          <w:b/>
          <w:bCs/>
          <w:color w:val="532D6D"/>
          <w:sz w:val="22"/>
          <w:szCs w:val="22"/>
        </w:rPr>
        <w:t>A New Model for Integrated Quality Care in Inflammatory Bowel Disease</w:t>
      </w:r>
    </w:p>
    <w:p w14:paraId="2312E330" w14:textId="77777777" w:rsidR="00DE7FA9" w:rsidRDefault="00DE7FA9" w:rsidP="00200605">
      <w:pPr>
        <w:spacing w:after="120" w:line="240" w:lineRule="auto"/>
        <w:rPr>
          <w:sz w:val="21"/>
          <w:szCs w:val="21"/>
        </w:rPr>
      </w:pPr>
    </w:p>
    <w:p w14:paraId="01A5FDAC" w14:textId="3B50BA96" w:rsidR="00200605" w:rsidRDefault="00200605" w:rsidP="00200605">
      <w:pPr>
        <w:spacing w:after="120" w:line="240" w:lineRule="auto"/>
        <w:rPr>
          <w:sz w:val="21"/>
          <w:szCs w:val="21"/>
        </w:rPr>
      </w:pPr>
      <w:r>
        <w:rPr>
          <w:sz w:val="21"/>
          <w:szCs w:val="21"/>
        </w:rPr>
        <w:t xml:space="preserve">Delivering quality healthcare effectively and efficiently is a core enabler of productivity </w:t>
      </w:r>
      <w:r w:rsidR="00B23172">
        <w:rPr>
          <w:sz w:val="21"/>
          <w:szCs w:val="21"/>
        </w:rPr>
        <w:t xml:space="preserve">and economic </w:t>
      </w:r>
      <w:r>
        <w:rPr>
          <w:sz w:val="21"/>
          <w:szCs w:val="21"/>
        </w:rPr>
        <w:t xml:space="preserve">growth. </w:t>
      </w:r>
      <w:r w:rsidR="00B23172">
        <w:rPr>
          <w:sz w:val="21"/>
          <w:szCs w:val="21"/>
        </w:rPr>
        <w:t xml:space="preserve">The </w:t>
      </w:r>
      <w:r w:rsidR="00EB0D5E" w:rsidRPr="00200605">
        <w:rPr>
          <w:sz w:val="21"/>
          <w:szCs w:val="21"/>
        </w:rPr>
        <w:t>most significant contributions to productivity growth in the healthcare sector have stemmed from delivering more effective healthcare services rather than doing more with less.</w:t>
      </w:r>
      <w:r w:rsidR="00687198" w:rsidRPr="00200605">
        <w:rPr>
          <w:rStyle w:val="FootnoteReference"/>
          <w:sz w:val="21"/>
          <w:szCs w:val="21"/>
        </w:rPr>
        <w:footnoteReference w:id="1"/>
      </w:r>
      <w:r w:rsidR="00B23172">
        <w:rPr>
          <w:sz w:val="21"/>
          <w:szCs w:val="21"/>
        </w:rPr>
        <w:t xml:space="preserve"> </w:t>
      </w:r>
    </w:p>
    <w:p w14:paraId="7EEC3FBB" w14:textId="1E044CDD" w:rsidR="00200605" w:rsidRDefault="0090738F" w:rsidP="00200605">
      <w:pPr>
        <w:spacing w:after="120" w:line="240" w:lineRule="auto"/>
        <w:rPr>
          <w:sz w:val="21"/>
          <w:szCs w:val="21"/>
        </w:rPr>
      </w:pPr>
      <w:r>
        <w:rPr>
          <w:sz w:val="21"/>
          <w:szCs w:val="21"/>
        </w:rPr>
        <w:t>Australia has long recognised the need to improve prevention, quality, and service integration in healthcare, but it has missed opportunities to implement reforms that could enhance workforce participation and productivity. It has also underinvested in prevention, especially regarding the improved prevention and management of chronic diseases.</w:t>
      </w:r>
    </w:p>
    <w:p w14:paraId="204E8D23" w14:textId="26378F3C" w:rsidR="00205E1C" w:rsidRPr="00876653" w:rsidRDefault="00D37F09" w:rsidP="00205E1C">
      <w:pPr>
        <w:spacing w:after="120" w:line="240" w:lineRule="auto"/>
        <w:rPr>
          <w:sz w:val="21"/>
          <w:szCs w:val="21"/>
        </w:rPr>
      </w:pPr>
      <w:r>
        <w:rPr>
          <w:b/>
          <w:bCs/>
          <w:sz w:val="21"/>
          <w:szCs w:val="21"/>
        </w:rPr>
        <w:t>Inflammatory Bowel Disease (IBD) serves as a clear example of a missed opportunity to boost workforce productivity, resilience, and budget sustainability</w:t>
      </w:r>
      <w:r w:rsidRPr="00D37F09">
        <w:rPr>
          <w:sz w:val="21"/>
          <w:szCs w:val="21"/>
        </w:rPr>
        <w:t>. IBD—distinct from IBS—is the umbrella term for Crohn’s disease and ulcerative colitis, both of which are chronic, immune-mediated conditions. Currently, more than 180,000 Australians live with IBD</w:t>
      </w:r>
      <w:r w:rsidR="004F1415">
        <w:rPr>
          <w:rStyle w:val="FootnoteReference"/>
          <w:sz w:val="21"/>
          <w:szCs w:val="21"/>
        </w:rPr>
        <w:footnoteReference w:id="2"/>
      </w:r>
      <w:r w:rsidRPr="00D37F09">
        <w:rPr>
          <w:sz w:val="21"/>
          <w:szCs w:val="21"/>
        </w:rPr>
        <w:t xml:space="preserve">, including children, adults, and </w:t>
      </w:r>
      <w:r>
        <w:rPr>
          <w:sz w:val="21"/>
          <w:szCs w:val="21"/>
        </w:rPr>
        <w:t>the elderly</w:t>
      </w:r>
      <w:r w:rsidRPr="00D37F09">
        <w:rPr>
          <w:sz w:val="21"/>
          <w:szCs w:val="21"/>
        </w:rPr>
        <w:t xml:space="preserve">. Additionally, </w:t>
      </w:r>
      <w:r w:rsidRPr="00876653">
        <w:rPr>
          <w:sz w:val="21"/>
          <w:szCs w:val="21"/>
        </w:rPr>
        <w:t>Australia’s IBD prevalence is among the highest worldwide and is projected to surpass the rates in Canada, the UK, and New Zealand.</w:t>
      </w:r>
    </w:p>
    <w:p w14:paraId="0208FC2D" w14:textId="5F8BAE77" w:rsidR="00205E1C" w:rsidRDefault="0090738F" w:rsidP="00205E1C">
      <w:pPr>
        <w:spacing w:after="120" w:line="240" w:lineRule="auto"/>
        <w:rPr>
          <w:sz w:val="21"/>
          <w:szCs w:val="21"/>
        </w:rPr>
      </w:pPr>
      <w:r>
        <w:rPr>
          <w:sz w:val="21"/>
          <w:szCs w:val="21"/>
        </w:rPr>
        <w:t>Unlike other chronic conditions, which tend to be diseases of aging, IBD affects young people and those of working age</w:t>
      </w:r>
      <w:r w:rsidRPr="0090738F">
        <w:rPr>
          <w:b/>
          <w:bCs/>
          <w:sz w:val="21"/>
          <w:szCs w:val="21"/>
        </w:rPr>
        <w:t>. With 80% of people living with IBD (about 145,000 individuals) being of working age</w:t>
      </w:r>
      <w:r>
        <w:rPr>
          <w:sz w:val="21"/>
          <w:szCs w:val="21"/>
        </w:rPr>
        <w:t xml:space="preserve">, there is a strong need to pursue health reforms that help people </w:t>
      </w:r>
      <w:r w:rsidRPr="0090738F">
        <w:rPr>
          <w:b/>
          <w:bCs/>
          <w:sz w:val="21"/>
          <w:szCs w:val="21"/>
        </w:rPr>
        <w:t>achieve remission</w:t>
      </w:r>
      <w:r>
        <w:rPr>
          <w:sz w:val="21"/>
          <w:szCs w:val="21"/>
        </w:rPr>
        <w:t xml:space="preserve"> and </w:t>
      </w:r>
      <w:r w:rsidRPr="0090738F">
        <w:rPr>
          <w:b/>
          <w:bCs/>
          <w:sz w:val="21"/>
          <w:szCs w:val="21"/>
        </w:rPr>
        <w:t xml:space="preserve">stay productive throughout their </w:t>
      </w:r>
      <w:r w:rsidRPr="004F09FE">
        <w:rPr>
          <w:b/>
          <w:bCs/>
          <w:sz w:val="21"/>
          <w:szCs w:val="21"/>
        </w:rPr>
        <w:t>lives through participation in school, work, and their communities.</w:t>
      </w:r>
      <w:r>
        <w:rPr>
          <w:sz w:val="21"/>
          <w:szCs w:val="21"/>
        </w:rPr>
        <w:t xml:space="preserve"> </w:t>
      </w:r>
    </w:p>
    <w:p w14:paraId="0A9C8706" w14:textId="6980A18B" w:rsidR="00205E1C" w:rsidRPr="00200605" w:rsidRDefault="00205E1C" w:rsidP="00205E1C">
      <w:pPr>
        <w:spacing w:after="120" w:line="240" w:lineRule="auto"/>
        <w:rPr>
          <w:sz w:val="21"/>
          <w:szCs w:val="21"/>
        </w:rPr>
      </w:pPr>
      <w:r w:rsidRPr="00200605">
        <w:rPr>
          <w:sz w:val="21"/>
          <w:szCs w:val="21"/>
        </w:rPr>
        <w:t>The total economic impact of IBD to the Australian community in 2025 is expected to be $7.8 billion</w:t>
      </w:r>
      <w:r>
        <w:rPr>
          <w:sz w:val="21"/>
          <w:szCs w:val="21"/>
        </w:rPr>
        <w:t>.</w:t>
      </w:r>
      <w:r w:rsidR="00284799">
        <w:rPr>
          <w:rStyle w:val="FootnoteReference"/>
          <w:sz w:val="21"/>
          <w:szCs w:val="21"/>
        </w:rPr>
        <w:footnoteReference w:id="3"/>
      </w:r>
      <w:r w:rsidR="00284799">
        <w:rPr>
          <w:sz w:val="21"/>
          <w:szCs w:val="21"/>
        </w:rPr>
        <w:t xml:space="preserve"> </w:t>
      </w:r>
      <w:r>
        <w:rPr>
          <w:sz w:val="21"/>
          <w:szCs w:val="21"/>
        </w:rPr>
        <w:t>Approximately o</w:t>
      </w:r>
      <w:r w:rsidRPr="00200605">
        <w:rPr>
          <w:sz w:val="21"/>
          <w:szCs w:val="21"/>
        </w:rPr>
        <w:t>ne third of the</w:t>
      </w:r>
      <w:r>
        <w:rPr>
          <w:sz w:val="21"/>
          <w:szCs w:val="21"/>
        </w:rPr>
        <w:t xml:space="preserve">se </w:t>
      </w:r>
      <w:r w:rsidRPr="00200605">
        <w:rPr>
          <w:sz w:val="21"/>
          <w:szCs w:val="21"/>
        </w:rPr>
        <w:t>cost</w:t>
      </w:r>
      <w:r>
        <w:rPr>
          <w:sz w:val="21"/>
          <w:szCs w:val="21"/>
        </w:rPr>
        <w:t>s</w:t>
      </w:r>
      <w:r w:rsidRPr="00200605">
        <w:rPr>
          <w:sz w:val="21"/>
          <w:szCs w:val="21"/>
        </w:rPr>
        <w:t xml:space="preserve"> is direct healthcare costs, with the balance, and majority of the impact in the potentially preventable health and wider economic impacts arising from lower workforce participation, presenteeism and welfare support. </w:t>
      </w:r>
      <w:r>
        <w:rPr>
          <w:sz w:val="21"/>
          <w:szCs w:val="21"/>
        </w:rPr>
        <w:t>In</w:t>
      </w:r>
      <w:r w:rsidRPr="00200605">
        <w:rPr>
          <w:sz w:val="21"/>
          <w:szCs w:val="21"/>
        </w:rPr>
        <w:t xml:space="preserve"> light of the compounding prevalence of IBD</w:t>
      </w:r>
      <w:r>
        <w:rPr>
          <w:sz w:val="21"/>
          <w:szCs w:val="21"/>
        </w:rPr>
        <w:t xml:space="preserve"> in Australian communities</w:t>
      </w:r>
      <w:r w:rsidRPr="00200605">
        <w:rPr>
          <w:sz w:val="21"/>
          <w:szCs w:val="21"/>
        </w:rPr>
        <w:t xml:space="preserve">, the </w:t>
      </w:r>
      <w:r w:rsidRPr="00A51CD3">
        <w:rPr>
          <w:b/>
          <w:bCs/>
          <w:sz w:val="21"/>
          <w:szCs w:val="21"/>
        </w:rPr>
        <w:t>total economic burden is estimated to be a staggering $77.9 billion in net present value (NPV</w:t>
      </w:r>
      <w:r w:rsidRPr="00A51CD3">
        <w:rPr>
          <w:b/>
          <w:bCs/>
          <w:sz w:val="21"/>
          <w:szCs w:val="21"/>
          <w:vertAlign w:val="subscript"/>
        </w:rPr>
        <w:t>7%</w:t>
      </w:r>
      <w:r w:rsidRPr="00A51CD3">
        <w:rPr>
          <w:b/>
          <w:bCs/>
          <w:sz w:val="21"/>
          <w:szCs w:val="21"/>
        </w:rPr>
        <w:t>) terms over the 2025-2035 period</w:t>
      </w:r>
      <w:r w:rsidRPr="00200605">
        <w:rPr>
          <w:sz w:val="21"/>
          <w:szCs w:val="21"/>
        </w:rPr>
        <w:t>.</w:t>
      </w:r>
      <w:r w:rsidRPr="00200605">
        <w:rPr>
          <w:rStyle w:val="FootnoteReference"/>
          <w:sz w:val="21"/>
          <w:szCs w:val="21"/>
        </w:rPr>
        <w:footnoteReference w:id="4"/>
      </w:r>
      <w:r w:rsidRPr="00200605">
        <w:rPr>
          <w:sz w:val="21"/>
          <w:szCs w:val="21"/>
        </w:rPr>
        <w:t xml:space="preserve"> </w:t>
      </w:r>
    </w:p>
    <w:p w14:paraId="4E91D300" w14:textId="0408DB1F" w:rsidR="00183311" w:rsidRDefault="006F562E" w:rsidP="00A51CD3">
      <w:pPr>
        <w:spacing w:after="120" w:line="240" w:lineRule="auto"/>
        <w:rPr>
          <w:sz w:val="21"/>
          <w:szCs w:val="21"/>
        </w:rPr>
      </w:pPr>
      <w:r>
        <w:rPr>
          <w:sz w:val="21"/>
          <w:szCs w:val="21"/>
        </w:rPr>
        <w:t xml:space="preserve">Improving the management and care of IBD has a </w:t>
      </w:r>
      <w:r w:rsidR="0090738F">
        <w:rPr>
          <w:sz w:val="21"/>
          <w:szCs w:val="21"/>
        </w:rPr>
        <w:t>significant impact on a person's ability to work, their productivity in the workforce, and their capacity to live a full life and participate fully in their community</w:t>
      </w:r>
      <w:r>
        <w:rPr>
          <w:sz w:val="21"/>
          <w:szCs w:val="21"/>
        </w:rPr>
        <w:t xml:space="preserve">. </w:t>
      </w:r>
      <w:r w:rsidR="00A51CD3">
        <w:rPr>
          <w:sz w:val="21"/>
          <w:szCs w:val="21"/>
        </w:rPr>
        <w:t xml:space="preserve">Research has shown that </w:t>
      </w:r>
      <w:r w:rsidR="00A51CD3" w:rsidRPr="00E40453">
        <w:rPr>
          <w:b/>
          <w:bCs/>
          <w:sz w:val="21"/>
          <w:szCs w:val="21"/>
        </w:rPr>
        <w:t>people with</w:t>
      </w:r>
      <w:r w:rsidR="00A51CD3">
        <w:rPr>
          <w:sz w:val="21"/>
          <w:szCs w:val="21"/>
        </w:rPr>
        <w:t xml:space="preserve"> </w:t>
      </w:r>
      <w:r w:rsidR="008A59B9" w:rsidRPr="00A51CD3">
        <w:rPr>
          <w:b/>
          <w:bCs/>
          <w:sz w:val="21"/>
          <w:szCs w:val="21"/>
        </w:rPr>
        <w:t>poorly</w:t>
      </w:r>
      <w:r w:rsidR="008A59B9">
        <w:rPr>
          <w:b/>
          <w:bCs/>
          <w:sz w:val="21"/>
          <w:szCs w:val="21"/>
        </w:rPr>
        <w:t xml:space="preserve"> controlled</w:t>
      </w:r>
      <w:r w:rsidR="00A51CD3" w:rsidRPr="00A51CD3">
        <w:rPr>
          <w:b/>
          <w:bCs/>
          <w:sz w:val="21"/>
          <w:szCs w:val="21"/>
        </w:rPr>
        <w:t xml:space="preserve"> IBD are expensive, ‘</w:t>
      </w:r>
      <w:r w:rsidR="009B32A5" w:rsidRPr="00A51CD3">
        <w:rPr>
          <w:b/>
          <w:bCs/>
          <w:sz w:val="21"/>
          <w:szCs w:val="21"/>
        </w:rPr>
        <w:t>frequent flyers</w:t>
      </w:r>
      <w:r w:rsidR="00A51CD3" w:rsidRPr="00A51CD3">
        <w:rPr>
          <w:b/>
          <w:bCs/>
          <w:sz w:val="21"/>
          <w:szCs w:val="21"/>
        </w:rPr>
        <w:t>’</w:t>
      </w:r>
      <w:r w:rsidR="00A51CD3">
        <w:rPr>
          <w:sz w:val="21"/>
          <w:szCs w:val="21"/>
        </w:rPr>
        <w:t xml:space="preserve"> </w:t>
      </w:r>
      <w:r w:rsidR="00183311" w:rsidRPr="00200605">
        <w:rPr>
          <w:sz w:val="21"/>
          <w:szCs w:val="21"/>
        </w:rPr>
        <w:t>with hospital admissions and emergency department presentations higher per case per year than cancer</w:t>
      </w:r>
      <w:r w:rsidR="00183311">
        <w:rPr>
          <w:sz w:val="21"/>
          <w:szCs w:val="21"/>
        </w:rPr>
        <w:t>,</w:t>
      </w:r>
      <w:r w:rsidR="00183311" w:rsidRPr="00200605">
        <w:rPr>
          <w:sz w:val="21"/>
          <w:szCs w:val="21"/>
        </w:rPr>
        <w:t xml:space="preserve"> heart disease, endometriosis, arthritis, asthma, kidney disease</w:t>
      </w:r>
      <w:r w:rsidR="00676F7E">
        <w:rPr>
          <w:sz w:val="21"/>
          <w:szCs w:val="21"/>
        </w:rPr>
        <w:t>,</w:t>
      </w:r>
      <w:r w:rsidR="00183311" w:rsidRPr="00200605">
        <w:rPr>
          <w:sz w:val="21"/>
          <w:szCs w:val="21"/>
        </w:rPr>
        <w:t xml:space="preserve"> and dementia based on AIHW data (</w:t>
      </w:r>
      <w:r w:rsidR="00E40453">
        <w:rPr>
          <w:sz w:val="21"/>
          <w:szCs w:val="21"/>
        </w:rPr>
        <w:t>See Figure</w:t>
      </w:r>
      <w:r w:rsidR="00183311" w:rsidRPr="00200605">
        <w:rPr>
          <w:sz w:val="21"/>
          <w:szCs w:val="21"/>
        </w:rPr>
        <w:t xml:space="preserve">). </w:t>
      </w:r>
    </w:p>
    <w:p w14:paraId="1D664DBB" w14:textId="36987C9D" w:rsidR="00A51CD3" w:rsidRPr="00200605" w:rsidRDefault="00112E65" w:rsidP="00A51CD3">
      <w:pPr>
        <w:spacing w:after="120" w:line="240" w:lineRule="auto"/>
        <w:rPr>
          <w:sz w:val="21"/>
          <w:szCs w:val="21"/>
        </w:rPr>
      </w:pPr>
      <w:r w:rsidRPr="00B96C62">
        <w:rPr>
          <w:noProof/>
        </w:rPr>
        <w:drawing>
          <wp:anchor distT="0" distB="0" distL="114300" distR="114300" simplePos="0" relativeHeight="251658240" behindDoc="0" locked="0" layoutInCell="1" allowOverlap="1" wp14:anchorId="7B0F165A" wp14:editId="62321DD4">
            <wp:simplePos x="0" y="0"/>
            <wp:positionH relativeFrom="column">
              <wp:posOffset>2870146</wp:posOffset>
            </wp:positionH>
            <wp:positionV relativeFrom="paragraph">
              <wp:posOffset>112098</wp:posOffset>
            </wp:positionV>
            <wp:extent cx="3216275" cy="2851785"/>
            <wp:effectExtent l="19050" t="19050" r="22225" b="24765"/>
            <wp:wrapSquare wrapText="bothSides"/>
            <wp:docPr id="195751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6275" cy="2851785"/>
                    </a:xfrm>
                    <a:prstGeom prst="rect">
                      <a:avLst/>
                    </a:prstGeom>
                    <a:noFill/>
                    <a:ln w="3175">
                      <a:solidFill>
                        <a:srgbClr val="361263"/>
                      </a:solidFill>
                    </a:ln>
                  </pic:spPr>
                </pic:pic>
              </a:graphicData>
            </a:graphic>
            <wp14:sizeRelH relativeFrom="margin">
              <wp14:pctWidth>0</wp14:pctWidth>
            </wp14:sizeRelH>
            <wp14:sizeRelV relativeFrom="margin">
              <wp14:pctHeight>0</wp14:pctHeight>
            </wp14:sizeRelV>
          </wp:anchor>
        </w:drawing>
      </w:r>
      <w:r w:rsidR="00183311">
        <w:rPr>
          <w:sz w:val="21"/>
          <w:szCs w:val="21"/>
        </w:rPr>
        <w:t xml:space="preserve">Research has also shown </w:t>
      </w:r>
      <w:r w:rsidR="00A51CD3">
        <w:rPr>
          <w:sz w:val="21"/>
          <w:szCs w:val="21"/>
        </w:rPr>
        <w:t xml:space="preserve">that </w:t>
      </w:r>
      <w:r w:rsidR="0011757B" w:rsidRPr="0011757B">
        <w:rPr>
          <w:b/>
          <w:bCs/>
          <w:sz w:val="21"/>
          <w:szCs w:val="21"/>
        </w:rPr>
        <w:t>much of this care can be prevented</w:t>
      </w:r>
      <w:r w:rsidR="0011757B">
        <w:rPr>
          <w:b/>
          <w:bCs/>
          <w:sz w:val="21"/>
          <w:szCs w:val="21"/>
        </w:rPr>
        <w:t xml:space="preserve"> </w:t>
      </w:r>
      <w:r w:rsidR="0011757B" w:rsidRPr="0011757B">
        <w:rPr>
          <w:sz w:val="21"/>
          <w:szCs w:val="21"/>
        </w:rPr>
        <w:t>and that an in</w:t>
      </w:r>
      <w:r w:rsidR="00A51CD3" w:rsidRPr="0011757B">
        <w:rPr>
          <w:sz w:val="21"/>
          <w:szCs w:val="21"/>
        </w:rPr>
        <w:t xml:space="preserve">tegrated model of care </w:t>
      </w:r>
      <w:r w:rsidR="0011757B" w:rsidRPr="0011757B">
        <w:rPr>
          <w:sz w:val="21"/>
          <w:szCs w:val="21"/>
        </w:rPr>
        <w:t>would   deliver</w:t>
      </w:r>
      <w:r w:rsidR="00A51CD3" w:rsidRPr="00A51CD3">
        <w:rPr>
          <w:b/>
          <w:bCs/>
          <w:sz w:val="21"/>
          <w:szCs w:val="21"/>
        </w:rPr>
        <w:t xml:space="preserve"> budget efficiencies</w:t>
      </w:r>
      <w:r w:rsidR="00A51CD3">
        <w:rPr>
          <w:sz w:val="21"/>
          <w:szCs w:val="21"/>
        </w:rPr>
        <w:t xml:space="preserve"> and </w:t>
      </w:r>
      <w:r w:rsidR="00A51CD3" w:rsidRPr="00A51CD3">
        <w:rPr>
          <w:b/>
          <w:bCs/>
          <w:sz w:val="21"/>
          <w:szCs w:val="21"/>
        </w:rPr>
        <w:t>health care improvements</w:t>
      </w:r>
      <w:r w:rsidR="00A51CD3">
        <w:rPr>
          <w:sz w:val="21"/>
          <w:szCs w:val="21"/>
        </w:rPr>
        <w:t>:</w:t>
      </w:r>
    </w:p>
    <w:p w14:paraId="78C0C0CB" w14:textId="3718BA51" w:rsidR="00A51CD3" w:rsidRPr="00A51CD3" w:rsidRDefault="00A51CD3" w:rsidP="00F67EA2">
      <w:pPr>
        <w:pStyle w:val="ListParagraph"/>
        <w:numPr>
          <w:ilvl w:val="0"/>
          <w:numId w:val="1"/>
        </w:numPr>
        <w:spacing w:after="0" w:line="240" w:lineRule="auto"/>
        <w:ind w:left="284" w:hanging="284"/>
        <w:contextualSpacing w:val="0"/>
        <w:rPr>
          <w:b/>
          <w:bCs/>
          <w:sz w:val="21"/>
          <w:szCs w:val="21"/>
        </w:rPr>
      </w:pPr>
      <w:r w:rsidRPr="00200605">
        <w:rPr>
          <w:sz w:val="21"/>
          <w:szCs w:val="21"/>
        </w:rPr>
        <w:t xml:space="preserve">Increases the </w:t>
      </w:r>
      <w:r w:rsidRPr="00A51CD3">
        <w:rPr>
          <w:b/>
          <w:bCs/>
          <w:sz w:val="21"/>
          <w:szCs w:val="21"/>
        </w:rPr>
        <w:t xml:space="preserve">probability of </w:t>
      </w:r>
      <w:r w:rsidRPr="00B96C62">
        <w:rPr>
          <w:b/>
          <w:bCs/>
          <w:sz w:val="21"/>
          <w:szCs w:val="21"/>
          <w:u w:val="single"/>
        </w:rPr>
        <w:t>achieving remission</w:t>
      </w:r>
      <w:r w:rsidRPr="00A51CD3">
        <w:rPr>
          <w:b/>
          <w:bCs/>
          <w:sz w:val="21"/>
          <w:szCs w:val="21"/>
        </w:rPr>
        <w:t xml:space="preserve"> nearly four-fold</w:t>
      </w:r>
    </w:p>
    <w:p w14:paraId="15B11EFD" w14:textId="51211D5E" w:rsidR="00A51CD3" w:rsidRPr="00200605" w:rsidRDefault="00A51CD3" w:rsidP="00F67EA2">
      <w:pPr>
        <w:pStyle w:val="ListParagraph"/>
        <w:numPr>
          <w:ilvl w:val="0"/>
          <w:numId w:val="1"/>
        </w:numPr>
        <w:spacing w:after="0" w:line="240" w:lineRule="auto"/>
        <w:ind w:left="284" w:hanging="284"/>
        <w:contextualSpacing w:val="0"/>
        <w:rPr>
          <w:sz w:val="21"/>
          <w:szCs w:val="21"/>
        </w:rPr>
      </w:pPr>
      <w:r w:rsidRPr="00200605">
        <w:rPr>
          <w:sz w:val="21"/>
          <w:szCs w:val="21"/>
        </w:rPr>
        <w:t xml:space="preserve">Reduces the </w:t>
      </w:r>
      <w:r w:rsidRPr="00A51CD3">
        <w:rPr>
          <w:b/>
          <w:bCs/>
          <w:sz w:val="21"/>
          <w:szCs w:val="21"/>
        </w:rPr>
        <w:t xml:space="preserve">risk of </w:t>
      </w:r>
      <w:r w:rsidRPr="00B96C62">
        <w:rPr>
          <w:b/>
          <w:bCs/>
          <w:sz w:val="21"/>
          <w:szCs w:val="21"/>
          <w:u w:val="single"/>
        </w:rPr>
        <w:t>hospitalisations</w:t>
      </w:r>
      <w:r w:rsidRPr="00A51CD3">
        <w:rPr>
          <w:b/>
          <w:bCs/>
          <w:sz w:val="21"/>
          <w:szCs w:val="21"/>
        </w:rPr>
        <w:t xml:space="preserve"> by 30 per cent</w:t>
      </w:r>
    </w:p>
    <w:p w14:paraId="46FE9179" w14:textId="68FE22BB" w:rsidR="00A51CD3" w:rsidRPr="00200605" w:rsidRDefault="00A51CD3" w:rsidP="00F67EA2">
      <w:pPr>
        <w:pStyle w:val="ListParagraph"/>
        <w:numPr>
          <w:ilvl w:val="0"/>
          <w:numId w:val="1"/>
        </w:numPr>
        <w:spacing w:after="0" w:line="240" w:lineRule="auto"/>
        <w:ind w:left="284" w:hanging="284"/>
        <w:contextualSpacing w:val="0"/>
        <w:rPr>
          <w:sz w:val="21"/>
          <w:szCs w:val="21"/>
        </w:rPr>
      </w:pPr>
      <w:r w:rsidRPr="00200605">
        <w:rPr>
          <w:sz w:val="21"/>
          <w:szCs w:val="21"/>
        </w:rPr>
        <w:t xml:space="preserve">Reduces the </w:t>
      </w:r>
      <w:r w:rsidRPr="00A51CD3">
        <w:rPr>
          <w:b/>
          <w:bCs/>
          <w:sz w:val="21"/>
          <w:szCs w:val="21"/>
        </w:rPr>
        <w:t xml:space="preserve">risk of </w:t>
      </w:r>
      <w:r w:rsidRPr="00B96C62">
        <w:rPr>
          <w:b/>
          <w:bCs/>
          <w:sz w:val="21"/>
          <w:szCs w:val="21"/>
          <w:u w:val="single"/>
        </w:rPr>
        <w:t>surger</w:t>
      </w:r>
      <w:r w:rsidR="00B96C62" w:rsidRPr="00B96C62">
        <w:rPr>
          <w:b/>
          <w:bCs/>
          <w:sz w:val="21"/>
          <w:szCs w:val="21"/>
          <w:u w:val="single"/>
        </w:rPr>
        <w:t>y</w:t>
      </w:r>
      <w:r w:rsidR="00B96C62">
        <w:rPr>
          <w:b/>
          <w:bCs/>
          <w:sz w:val="21"/>
          <w:szCs w:val="21"/>
        </w:rPr>
        <w:t xml:space="preserve"> </w:t>
      </w:r>
      <w:r w:rsidRPr="00A51CD3">
        <w:rPr>
          <w:b/>
          <w:bCs/>
          <w:sz w:val="21"/>
          <w:szCs w:val="21"/>
        </w:rPr>
        <w:t>by 44 per cent</w:t>
      </w:r>
    </w:p>
    <w:p w14:paraId="2F1FA653" w14:textId="77777777" w:rsidR="00A51CD3" w:rsidRPr="00200605" w:rsidRDefault="00A51CD3" w:rsidP="00F67EA2">
      <w:pPr>
        <w:pStyle w:val="ListParagraph"/>
        <w:numPr>
          <w:ilvl w:val="0"/>
          <w:numId w:val="1"/>
        </w:numPr>
        <w:spacing w:after="0" w:line="240" w:lineRule="auto"/>
        <w:ind w:left="284" w:hanging="284"/>
        <w:contextualSpacing w:val="0"/>
        <w:rPr>
          <w:sz w:val="21"/>
          <w:szCs w:val="21"/>
        </w:rPr>
      </w:pPr>
      <w:r w:rsidRPr="00200605">
        <w:rPr>
          <w:sz w:val="21"/>
          <w:szCs w:val="21"/>
        </w:rPr>
        <w:t xml:space="preserve">Reduces the </w:t>
      </w:r>
      <w:r w:rsidRPr="00A51CD3">
        <w:rPr>
          <w:b/>
          <w:bCs/>
          <w:sz w:val="21"/>
          <w:szCs w:val="21"/>
        </w:rPr>
        <w:t xml:space="preserve">risk of </w:t>
      </w:r>
      <w:r w:rsidRPr="00B96C62">
        <w:rPr>
          <w:b/>
          <w:bCs/>
          <w:sz w:val="21"/>
          <w:szCs w:val="21"/>
          <w:u w:val="single"/>
        </w:rPr>
        <w:t>emergency department presentations</w:t>
      </w:r>
      <w:r w:rsidRPr="00A51CD3">
        <w:rPr>
          <w:b/>
          <w:bCs/>
          <w:sz w:val="21"/>
          <w:szCs w:val="21"/>
        </w:rPr>
        <w:t xml:space="preserve"> by 78 per cent</w:t>
      </w:r>
    </w:p>
    <w:p w14:paraId="6C3C900C" w14:textId="77777777" w:rsidR="00A51CD3" w:rsidRPr="00A51CD3" w:rsidRDefault="00A51CD3" w:rsidP="00F67EA2">
      <w:pPr>
        <w:pStyle w:val="ListParagraph"/>
        <w:numPr>
          <w:ilvl w:val="0"/>
          <w:numId w:val="1"/>
        </w:numPr>
        <w:spacing w:after="0" w:line="240" w:lineRule="auto"/>
        <w:ind w:left="284" w:hanging="284"/>
        <w:contextualSpacing w:val="0"/>
        <w:rPr>
          <w:b/>
          <w:bCs/>
          <w:sz w:val="21"/>
          <w:szCs w:val="21"/>
        </w:rPr>
      </w:pPr>
      <w:r w:rsidRPr="00200605">
        <w:rPr>
          <w:sz w:val="21"/>
          <w:szCs w:val="21"/>
        </w:rPr>
        <w:t xml:space="preserve">Improves a </w:t>
      </w:r>
      <w:r w:rsidRPr="00A51CD3">
        <w:rPr>
          <w:b/>
          <w:bCs/>
          <w:sz w:val="21"/>
          <w:szCs w:val="21"/>
        </w:rPr>
        <w:t xml:space="preserve">person’s </w:t>
      </w:r>
      <w:r w:rsidRPr="0011757B">
        <w:rPr>
          <w:b/>
          <w:bCs/>
          <w:sz w:val="21"/>
          <w:szCs w:val="21"/>
          <w:u w:val="single"/>
        </w:rPr>
        <w:t>probability of working</w:t>
      </w:r>
      <w:r w:rsidRPr="00A51CD3">
        <w:rPr>
          <w:b/>
          <w:bCs/>
          <w:sz w:val="21"/>
          <w:szCs w:val="21"/>
        </w:rPr>
        <w:t xml:space="preserve"> by 26 per cent</w:t>
      </w:r>
    </w:p>
    <w:p w14:paraId="64E61E9A" w14:textId="77777777" w:rsidR="00A51CD3" w:rsidRPr="00A51CD3" w:rsidRDefault="00A51CD3" w:rsidP="00F67EA2">
      <w:pPr>
        <w:pStyle w:val="ListParagraph"/>
        <w:numPr>
          <w:ilvl w:val="0"/>
          <w:numId w:val="1"/>
        </w:numPr>
        <w:spacing w:after="0" w:line="240" w:lineRule="auto"/>
        <w:ind w:left="284" w:hanging="284"/>
        <w:contextualSpacing w:val="0"/>
        <w:rPr>
          <w:b/>
          <w:bCs/>
          <w:sz w:val="21"/>
          <w:szCs w:val="21"/>
        </w:rPr>
      </w:pPr>
      <w:r w:rsidRPr="00200605">
        <w:rPr>
          <w:sz w:val="21"/>
          <w:szCs w:val="21"/>
        </w:rPr>
        <w:t xml:space="preserve">Triples the </w:t>
      </w:r>
      <w:r w:rsidRPr="00A51CD3">
        <w:rPr>
          <w:b/>
          <w:bCs/>
          <w:sz w:val="21"/>
          <w:szCs w:val="21"/>
        </w:rPr>
        <w:t xml:space="preserve">probability of a student </w:t>
      </w:r>
      <w:r w:rsidRPr="0011757B">
        <w:rPr>
          <w:b/>
          <w:bCs/>
          <w:sz w:val="21"/>
          <w:szCs w:val="21"/>
          <w:u w:val="single"/>
        </w:rPr>
        <w:t>staying in school</w:t>
      </w:r>
    </w:p>
    <w:p w14:paraId="1BFAC362" w14:textId="1F2B8DA8" w:rsidR="00A51CD3" w:rsidRPr="00A51CD3" w:rsidRDefault="00A51CD3" w:rsidP="00F67EA2">
      <w:pPr>
        <w:pStyle w:val="ListParagraph"/>
        <w:numPr>
          <w:ilvl w:val="0"/>
          <w:numId w:val="1"/>
        </w:numPr>
        <w:spacing w:after="0" w:line="240" w:lineRule="auto"/>
        <w:ind w:left="284" w:hanging="284"/>
        <w:contextualSpacing w:val="0"/>
        <w:rPr>
          <w:sz w:val="21"/>
          <w:szCs w:val="21"/>
        </w:rPr>
      </w:pPr>
      <w:r w:rsidRPr="00A51CD3">
        <w:rPr>
          <w:sz w:val="21"/>
          <w:szCs w:val="21"/>
        </w:rPr>
        <w:t xml:space="preserve">Improves a person’s ability to have a </w:t>
      </w:r>
      <w:r w:rsidRPr="00A51CD3">
        <w:rPr>
          <w:b/>
          <w:bCs/>
          <w:sz w:val="21"/>
          <w:szCs w:val="21"/>
        </w:rPr>
        <w:t xml:space="preserve">more </w:t>
      </w:r>
      <w:r w:rsidRPr="00B96C62">
        <w:rPr>
          <w:b/>
          <w:bCs/>
          <w:sz w:val="21"/>
          <w:szCs w:val="21"/>
          <w:u w:val="single"/>
        </w:rPr>
        <w:t>active social life</w:t>
      </w:r>
      <w:r w:rsidRPr="00A51CD3">
        <w:rPr>
          <w:b/>
          <w:bCs/>
          <w:sz w:val="21"/>
          <w:szCs w:val="21"/>
        </w:rPr>
        <w:t xml:space="preserve"> by 50 per cent</w:t>
      </w:r>
      <w:r w:rsidRPr="00A51CD3">
        <w:rPr>
          <w:sz w:val="21"/>
          <w:szCs w:val="21"/>
        </w:rPr>
        <w:t>.</w:t>
      </w:r>
    </w:p>
    <w:p w14:paraId="3EE70257" w14:textId="77C37524" w:rsidR="00183311" w:rsidRPr="008442F1" w:rsidRDefault="00C559F6" w:rsidP="00183311">
      <w:pPr>
        <w:spacing w:after="120" w:line="240" w:lineRule="auto"/>
        <w:rPr>
          <w:sz w:val="21"/>
          <w:szCs w:val="21"/>
        </w:rPr>
      </w:pPr>
      <w:r>
        <w:rPr>
          <w:b/>
          <w:bCs/>
          <w:sz w:val="21"/>
          <w:szCs w:val="21"/>
        </w:rPr>
        <w:lastRenderedPageBreak/>
        <w:t>Working with the entire IBD community, Crohn’s &amp; Colitis Australia has created a specific, detailed, and evidence-based proposal for a program that would provide more effective, efficient, and integrated healthcare for the 180,000 people living with IBD.</w:t>
      </w:r>
    </w:p>
    <w:p w14:paraId="3765A35B" w14:textId="1AC24E56" w:rsidR="00183311" w:rsidRDefault="00C559F6" w:rsidP="00183311">
      <w:pPr>
        <w:spacing w:after="120" w:line="240" w:lineRule="auto"/>
        <w:rPr>
          <w:sz w:val="21"/>
          <w:szCs w:val="21"/>
        </w:rPr>
      </w:pPr>
      <w:r>
        <w:rPr>
          <w:sz w:val="21"/>
          <w:szCs w:val="21"/>
        </w:rPr>
        <w:t xml:space="preserve">CCA’s proposed </w:t>
      </w:r>
      <w:r w:rsidRPr="008C6F64">
        <w:rPr>
          <w:b/>
          <w:bCs/>
          <w:sz w:val="21"/>
          <w:szCs w:val="21"/>
        </w:rPr>
        <w:t>‘Integrated Quality Care in IBD’</w:t>
      </w:r>
      <w:r w:rsidR="008C6F64">
        <w:rPr>
          <w:rStyle w:val="FootnoteReference"/>
          <w:sz w:val="21"/>
          <w:szCs w:val="21"/>
        </w:rPr>
        <w:footnoteReference w:id="5"/>
      </w:r>
      <w:r w:rsidR="00CE210A">
        <w:rPr>
          <w:sz w:val="21"/>
          <w:szCs w:val="21"/>
        </w:rPr>
        <w:t xml:space="preserve"> </w:t>
      </w:r>
      <w:r>
        <w:rPr>
          <w:sz w:val="21"/>
          <w:szCs w:val="21"/>
        </w:rPr>
        <w:t xml:space="preserve">program would involve development of a targeted, time-limited </w:t>
      </w:r>
      <w:r w:rsidRPr="00CE210A">
        <w:rPr>
          <w:i/>
          <w:iCs/>
          <w:sz w:val="21"/>
          <w:szCs w:val="21"/>
        </w:rPr>
        <w:t>Living Well with IBD</w:t>
      </w:r>
      <w:r>
        <w:rPr>
          <w:sz w:val="21"/>
          <w:szCs w:val="21"/>
        </w:rPr>
        <w:t xml:space="preserve"> initiative focused on improving disease remission among priority populations. It also involves implementing foundational capabilities to enhance care quality and integration, such as creating a clinical care standard, expanding access to a national virtual multidisciplinary team (MDT) network, streamlining specialist referrals, increasing access to digital health services for more integrated primary and tertiary care, and providing workforce training to uplift service quality in IBD. The </w:t>
      </w:r>
      <w:r w:rsidRPr="00CE210A">
        <w:rPr>
          <w:i/>
          <w:iCs/>
          <w:sz w:val="21"/>
          <w:szCs w:val="21"/>
        </w:rPr>
        <w:t>Living Well with IBD</w:t>
      </w:r>
      <w:r>
        <w:rPr>
          <w:sz w:val="21"/>
          <w:szCs w:val="21"/>
        </w:rPr>
        <w:t xml:space="preserve"> program intends to increase access to integrated, multidisciplinary care for priority groups, including paediatric patients, regional residents, Aboriginal and Torres Strait Islanders, Culturally and Linguistically Diverse Australians, elderly Australians, people with severe active disease, and those facing severe mental health challenges. Support will be available for these populations over three years, with the first 18 months dedicated to program development. The estimated cost of this initiative is $34.1 million over four years. </w:t>
      </w:r>
    </w:p>
    <w:p w14:paraId="6B2E1FF2" w14:textId="4A7423AD" w:rsidR="00397B80" w:rsidRPr="00963DAA" w:rsidRDefault="00676F7E" w:rsidP="00397B80">
      <w:pPr>
        <w:spacing w:after="120" w:line="240" w:lineRule="auto"/>
        <w:rPr>
          <w:b/>
          <w:bCs/>
          <w:sz w:val="21"/>
          <w:szCs w:val="21"/>
        </w:rPr>
      </w:pPr>
      <w:r w:rsidRPr="00676F7E">
        <w:rPr>
          <w:b/>
          <w:bCs/>
          <w:sz w:val="21"/>
          <w:szCs w:val="21"/>
        </w:rPr>
        <w:t>Through the program, 23,400 people will gain access to integrated, multidisciplinary care</w:t>
      </w:r>
      <w:r>
        <w:rPr>
          <w:sz w:val="21"/>
          <w:szCs w:val="21"/>
        </w:rPr>
        <w:t xml:space="preserve"> that they would not have received otherwise over the next four years. This represents approximately 22.7 percent of the expected IBD prevalence under active management. </w:t>
      </w:r>
      <w:r w:rsidRPr="00963DAA">
        <w:rPr>
          <w:b/>
          <w:bCs/>
          <w:sz w:val="21"/>
          <w:szCs w:val="21"/>
        </w:rPr>
        <w:t>Based on leading Australian research, it is estimated that about 9,360 of these patients will reach disease remission at least one year earlier than they otherwise would, avoiding unnecessary suffering and healthcare costs valued at $127 million in net present value (NPV, 7%).</w:t>
      </w:r>
    </w:p>
    <w:p w14:paraId="16121794" w14:textId="1C07EB7B" w:rsidR="00183311" w:rsidRPr="00200605" w:rsidRDefault="00602530" w:rsidP="00183311">
      <w:pPr>
        <w:spacing w:after="120" w:line="240" w:lineRule="auto"/>
        <w:rPr>
          <w:sz w:val="21"/>
          <w:szCs w:val="21"/>
        </w:rPr>
      </w:pPr>
      <w:r>
        <w:rPr>
          <w:sz w:val="21"/>
          <w:szCs w:val="21"/>
        </w:rPr>
        <w:t xml:space="preserve">As a result, </w:t>
      </w:r>
      <w:r w:rsidRPr="00B96C62">
        <w:rPr>
          <w:b/>
          <w:bCs/>
          <w:sz w:val="21"/>
          <w:szCs w:val="21"/>
        </w:rPr>
        <w:t>t</w:t>
      </w:r>
      <w:r w:rsidR="00183311" w:rsidRPr="00B96C62">
        <w:rPr>
          <w:b/>
          <w:bCs/>
          <w:sz w:val="21"/>
          <w:szCs w:val="21"/>
        </w:rPr>
        <w:t xml:space="preserve">his program will deliver productivity improvements, a more resilient workforce and cost savings </w:t>
      </w:r>
      <w:r w:rsidR="00183311" w:rsidRPr="00200605">
        <w:rPr>
          <w:sz w:val="21"/>
          <w:szCs w:val="21"/>
        </w:rPr>
        <w:t>– both to the health system and wider economy.</w:t>
      </w:r>
      <w:r w:rsidR="008442F1">
        <w:rPr>
          <w:sz w:val="21"/>
          <w:szCs w:val="21"/>
        </w:rPr>
        <w:t xml:space="preserve"> Specifically, the </w:t>
      </w:r>
      <w:r w:rsidR="008442F1" w:rsidRPr="008442F1">
        <w:rPr>
          <w:sz w:val="21"/>
          <w:szCs w:val="21"/>
        </w:rPr>
        <w:t>Integrated, Quality Care in IBD Program will</w:t>
      </w:r>
      <w:r w:rsidR="00B7328D">
        <w:rPr>
          <w:sz w:val="21"/>
          <w:szCs w:val="21"/>
        </w:rPr>
        <w:t>:</w:t>
      </w:r>
    </w:p>
    <w:p w14:paraId="57B6C57B" w14:textId="7BA40F44" w:rsidR="00183311" w:rsidRPr="003C7139" w:rsidRDefault="003C7139" w:rsidP="00B7328D">
      <w:pPr>
        <w:pStyle w:val="ListParagraph"/>
        <w:numPr>
          <w:ilvl w:val="0"/>
          <w:numId w:val="2"/>
        </w:numPr>
        <w:spacing w:after="120" w:line="240" w:lineRule="auto"/>
        <w:ind w:left="284" w:hanging="284"/>
        <w:contextualSpacing w:val="0"/>
        <w:rPr>
          <w:sz w:val="21"/>
          <w:szCs w:val="21"/>
        </w:rPr>
      </w:pPr>
      <w:r>
        <w:rPr>
          <w:b/>
          <w:bCs/>
          <w:sz w:val="21"/>
          <w:szCs w:val="21"/>
        </w:rPr>
        <w:t xml:space="preserve">Boost productivity and workforce resilience — </w:t>
      </w:r>
      <w:r w:rsidRPr="003C7139">
        <w:rPr>
          <w:sz w:val="21"/>
          <w:szCs w:val="21"/>
        </w:rPr>
        <w:t xml:space="preserve">The program </w:t>
      </w:r>
      <w:r w:rsidR="00CE210A">
        <w:rPr>
          <w:sz w:val="21"/>
          <w:szCs w:val="21"/>
        </w:rPr>
        <w:t>is</w:t>
      </w:r>
      <w:r w:rsidRPr="003C7139">
        <w:rPr>
          <w:sz w:val="21"/>
          <w:szCs w:val="21"/>
        </w:rPr>
        <w:t xml:space="preserve"> expected to increase the number of Australians achieving remission, which in turn boosts workforce participation and productivity (by reducing presenteeism and absenteeism), as well as improving young people’s ability to attend school, participate in sports, and complete studies at TAFE or university</w:t>
      </w:r>
      <w:r>
        <w:rPr>
          <w:b/>
          <w:bCs/>
          <w:sz w:val="21"/>
          <w:szCs w:val="21"/>
        </w:rPr>
        <w:t xml:space="preserve">. An additional 2,152 people are expected to remain in the workforce, </w:t>
      </w:r>
      <w:r w:rsidRPr="003C7139">
        <w:rPr>
          <w:sz w:val="21"/>
          <w:szCs w:val="21"/>
        </w:rPr>
        <w:t xml:space="preserve">4,024 are expected to enjoy an active social life, and 9,360 people are expected to see their life satisfaction rise to match the population average, compared to taking no action. </w:t>
      </w:r>
    </w:p>
    <w:p w14:paraId="545FFB28" w14:textId="46F21539" w:rsidR="00183311" w:rsidRPr="00B7328D" w:rsidRDefault="00676F7E" w:rsidP="00B7328D">
      <w:pPr>
        <w:pStyle w:val="ListParagraph"/>
        <w:numPr>
          <w:ilvl w:val="0"/>
          <w:numId w:val="2"/>
        </w:numPr>
        <w:spacing w:after="120" w:line="240" w:lineRule="auto"/>
        <w:ind w:left="284" w:hanging="284"/>
        <w:contextualSpacing w:val="0"/>
        <w:rPr>
          <w:sz w:val="21"/>
          <w:szCs w:val="21"/>
        </w:rPr>
      </w:pPr>
      <w:r>
        <w:rPr>
          <w:b/>
          <w:bCs/>
          <w:sz w:val="21"/>
          <w:szCs w:val="21"/>
        </w:rPr>
        <w:t>Improve</w:t>
      </w:r>
      <w:r w:rsidR="003C7139">
        <w:rPr>
          <w:b/>
          <w:bCs/>
          <w:sz w:val="21"/>
          <w:szCs w:val="21"/>
        </w:rPr>
        <w:t xml:space="preserve"> budget sustainability — </w:t>
      </w:r>
      <w:r w:rsidR="003C7139" w:rsidRPr="00676F7E">
        <w:rPr>
          <w:sz w:val="21"/>
          <w:szCs w:val="21"/>
        </w:rPr>
        <w:t xml:space="preserve">This proposal is </w:t>
      </w:r>
      <w:r w:rsidRPr="00676F7E">
        <w:rPr>
          <w:b/>
          <w:bCs/>
          <w:sz w:val="21"/>
          <w:szCs w:val="21"/>
        </w:rPr>
        <w:t>budget positive</w:t>
      </w:r>
      <w:r w:rsidR="003C7139" w:rsidRPr="00676F7E">
        <w:rPr>
          <w:sz w:val="21"/>
          <w:szCs w:val="21"/>
        </w:rPr>
        <w:t xml:space="preserve">. Regarding </w:t>
      </w:r>
      <w:r w:rsidR="003C7139" w:rsidRPr="00CA662F">
        <w:rPr>
          <w:sz w:val="21"/>
          <w:szCs w:val="21"/>
        </w:rPr>
        <w:t>direct costs to the Commonwealth</w:t>
      </w:r>
      <w:r w:rsidR="003C7139" w:rsidRPr="00676F7E">
        <w:rPr>
          <w:b/>
          <w:bCs/>
          <w:sz w:val="21"/>
          <w:szCs w:val="21"/>
        </w:rPr>
        <w:t>, the benefit-cost ratio (</w:t>
      </w:r>
      <w:r w:rsidRPr="00676F7E">
        <w:rPr>
          <w:b/>
          <w:bCs/>
          <w:sz w:val="21"/>
          <w:szCs w:val="21"/>
        </w:rPr>
        <w:t>BCR) is</w:t>
      </w:r>
      <w:r w:rsidR="003C7139" w:rsidRPr="00676F7E">
        <w:rPr>
          <w:b/>
          <w:bCs/>
          <w:sz w:val="21"/>
          <w:szCs w:val="21"/>
        </w:rPr>
        <w:t xml:space="preserve"> estimated at 7.1,</w:t>
      </w:r>
      <w:r w:rsidR="003C7139" w:rsidRPr="00676F7E">
        <w:rPr>
          <w:sz w:val="21"/>
          <w:szCs w:val="21"/>
        </w:rPr>
        <w:t xml:space="preserve"> achieved through savings in welfare and income support payments, as well as lower demand for diagnostics, primary health care, specialists, and medicines. </w:t>
      </w:r>
      <w:bookmarkStart w:id="0" w:name="_Hlk204266293"/>
      <w:r w:rsidR="003C7139" w:rsidRPr="00676F7E">
        <w:rPr>
          <w:sz w:val="21"/>
          <w:szCs w:val="21"/>
        </w:rPr>
        <w:t xml:space="preserve">Research indicates that </w:t>
      </w:r>
      <w:r w:rsidR="003C7139" w:rsidRPr="00676F7E">
        <w:rPr>
          <w:b/>
          <w:bCs/>
          <w:sz w:val="21"/>
          <w:szCs w:val="21"/>
        </w:rPr>
        <w:t>a person with severely active IBD costs the Commonwealth $15,358 more annually (2025) than someone in remission.</w:t>
      </w:r>
      <w:r w:rsidR="003C7139" w:rsidRPr="00676F7E">
        <w:rPr>
          <w:sz w:val="21"/>
          <w:szCs w:val="21"/>
        </w:rPr>
        <w:t xml:space="preserve"> </w:t>
      </w:r>
      <w:bookmarkEnd w:id="0"/>
      <w:r w:rsidR="003C7139" w:rsidRPr="00676F7E">
        <w:rPr>
          <w:sz w:val="21"/>
          <w:szCs w:val="21"/>
        </w:rPr>
        <w:t>Importantly, there are health and economic benefits that extend beyond the direct financial gains to the Commonwealth:</w:t>
      </w:r>
      <w:r w:rsidR="003C7139">
        <w:rPr>
          <w:b/>
          <w:bCs/>
          <w:sz w:val="21"/>
          <w:szCs w:val="21"/>
        </w:rPr>
        <w:t xml:space="preserve"> the integrated services model will reduce emergency department visits, hospital admissions, and improve service efficiency amid an overstretched health workforce and unsustainable ambulance callouts. </w:t>
      </w:r>
    </w:p>
    <w:p w14:paraId="522F4729" w14:textId="66E3F679" w:rsidR="00183311" w:rsidRPr="00200605" w:rsidRDefault="003C7139" w:rsidP="00183311">
      <w:pPr>
        <w:spacing w:after="120" w:line="240" w:lineRule="auto"/>
        <w:rPr>
          <w:sz w:val="21"/>
          <w:szCs w:val="21"/>
        </w:rPr>
      </w:pPr>
      <w:r>
        <w:rPr>
          <w:sz w:val="21"/>
          <w:szCs w:val="21"/>
        </w:rPr>
        <w:t xml:space="preserve">The program will also </w:t>
      </w:r>
      <w:r w:rsidR="00676F7E">
        <w:rPr>
          <w:sz w:val="21"/>
          <w:szCs w:val="21"/>
        </w:rPr>
        <w:t>have important</w:t>
      </w:r>
      <w:r>
        <w:rPr>
          <w:sz w:val="21"/>
          <w:szCs w:val="21"/>
        </w:rPr>
        <w:t xml:space="preserve"> impact</w:t>
      </w:r>
      <w:r w:rsidR="00676F7E">
        <w:rPr>
          <w:sz w:val="21"/>
          <w:szCs w:val="21"/>
        </w:rPr>
        <w:t>s</w:t>
      </w:r>
      <w:r>
        <w:rPr>
          <w:sz w:val="21"/>
          <w:szCs w:val="21"/>
        </w:rPr>
        <w:t xml:space="preserve"> </w:t>
      </w:r>
      <w:r w:rsidR="00676F7E">
        <w:rPr>
          <w:sz w:val="21"/>
          <w:szCs w:val="21"/>
        </w:rPr>
        <w:t xml:space="preserve">on </w:t>
      </w:r>
      <w:r w:rsidRPr="00676F7E">
        <w:rPr>
          <w:b/>
          <w:bCs/>
          <w:sz w:val="21"/>
          <w:szCs w:val="21"/>
        </w:rPr>
        <w:t>households’ cost of living</w:t>
      </w:r>
      <w:r>
        <w:rPr>
          <w:sz w:val="21"/>
          <w:szCs w:val="21"/>
        </w:rPr>
        <w:t xml:space="preserve">. On average, a person living with IBD spends $5,900 annually on out-of-pocket expenses for managing their disease, which amounts to about 10 percent of the average Australian household’s disposable income. Additionally, the </w:t>
      </w:r>
      <w:r w:rsidRPr="00676F7E">
        <w:rPr>
          <w:b/>
          <w:bCs/>
          <w:sz w:val="21"/>
          <w:szCs w:val="21"/>
        </w:rPr>
        <w:t>average loss of income from decreased workforce participation and unpaid leave due to illness is estimated at $19,000</w:t>
      </w:r>
      <w:r>
        <w:rPr>
          <w:sz w:val="21"/>
          <w:szCs w:val="21"/>
        </w:rPr>
        <w:t xml:space="preserve">. As a result, the financial burden on families from poorly controlled IBD is substantial. Improving access to quality, integrated care is expected to </w:t>
      </w:r>
      <w:r w:rsidRPr="00676F7E">
        <w:rPr>
          <w:b/>
          <w:bCs/>
          <w:sz w:val="21"/>
          <w:szCs w:val="21"/>
        </w:rPr>
        <w:t>increase Australian household income by $151 million</w:t>
      </w:r>
      <w:r>
        <w:rPr>
          <w:sz w:val="21"/>
          <w:szCs w:val="21"/>
        </w:rPr>
        <w:t>.</w:t>
      </w:r>
    </w:p>
    <w:p w14:paraId="75A1D12E" w14:textId="77777777" w:rsidR="00F87EE1" w:rsidRDefault="00B7328D" w:rsidP="00200605">
      <w:pPr>
        <w:spacing w:after="120" w:line="240" w:lineRule="auto"/>
        <w:rPr>
          <w:b/>
          <w:bCs/>
          <w:sz w:val="21"/>
          <w:szCs w:val="21"/>
        </w:rPr>
      </w:pPr>
      <w:r w:rsidRPr="00B96C62">
        <w:rPr>
          <w:b/>
          <w:bCs/>
          <w:sz w:val="21"/>
          <w:szCs w:val="21"/>
        </w:rPr>
        <w:t>CCA’s proposal for an</w:t>
      </w:r>
      <w:r w:rsidR="008442F1" w:rsidRPr="00B96C62">
        <w:rPr>
          <w:b/>
          <w:bCs/>
          <w:sz w:val="21"/>
          <w:szCs w:val="21"/>
        </w:rPr>
        <w:t xml:space="preserve"> Integrated, Quality Care in IBD Program </w:t>
      </w:r>
      <w:r w:rsidR="00205E1C" w:rsidRPr="00B96C62">
        <w:rPr>
          <w:b/>
          <w:bCs/>
          <w:noProof/>
          <w:sz w:val="21"/>
          <w:szCs w:val="21"/>
        </w:rPr>
        <w:t>is</w:t>
      </w:r>
      <w:r w:rsidRPr="00B96C62">
        <w:rPr>
          <w:b/>
          <w:bCs/>
          <w:noProof/>
          <w:sz w:val="21"/>
          <w:szCs w:val="21"/>
        </w:rPr>
        <w:t xml:space="preserve"> evidence-based, budget-positive, specific</w:t>
      </w:r>
      <w:r w:rsidR="00676F7E">
        <w:rPr>
          <w:b/>
          <w:bCs/>
          <w:noProof/>
          <w:sz w:val="21"/>
          <w:szCs w:val="21"/>
        </w:rPr>
        <w:t>,</w:t>
      </w:r>
      <w:r w:rsidRPr="00B96C62">
        <w:rPr>
          <w:b/>
          <w:bCs/>
          <w:noProof/>
          <w:sz w:val="21"/>
          <w:szCs w:val="21"/>
        </w:rPr>
        <w:t xml:space="preserve"> and</w:t>
      </w:r>
      <w:r w:rsidR="00205E1C" w:rsidRPr="00B96C62">
        <w:rPr>
          <w:b/>
          <w:bCs/>
          <w:noProof/>
          <w:sz w:val="21"/>
          <w:szCs w:val="21"/>
        </w:rPr>
        <w:t xml:space="preserve"> strongly aligned with</w:t>
      </w:r>
      <w:r w:rsidR="00056BDB" w:rsidRPr="00B96C62">
        <w:rPr>
          <w:b/>
          <w:bCs/>
          <w:sz w:val="21"/>
          <w:szCs w:val="21"/>
        </w:rPr>
        <w:t xml:space="preserve"> </w:t>
      </w:r>
      <w:r w:rsidR="000C630D" w:rsidRPr="00B96C62">
        <w:rPr>
          <w:b/>
          <w:bCs/>
          <w:sz w:val="21"/>
          <w:szCs w:val="21"/>
        </w:rPr>
        <w:t>the</w:t>
      </w:r>
      <w:r w:rsidR="00205E1C">
        <w:rPr>
          <w:sz w:val="21"/>
          <w:szCs w:val="21"/>
        </w:rPr>
        <w:t xml:space="preserve"> </w:t>
      </w:r>
      <w:r w:rsidR="00205E1C" w:rsidRPr="00205E1C">
        <w:rPr>
          <w:b/>
          <w:bCs/>
          <w:sz w:val="21"/>
          <w:szCs w:val="21"/>
        </w:rPr>
        <w:t>fifth pillar of the Government’s</w:t>
      </w:r>
      <w:r w:rsidR="000C630D" w:rsidRPr="00205E1C">
        <w:rPr>
          <w:b/>
          <w:bCs/>
          <w:sz w:val="21"/>
          <w:szCs w:val="21"/>
        </w:rPr>
        <w:t xml:space="preserve"> Productivity </w:t>
      </w:r>
      <w:r w:rsidR="00205E1C" w:rsidRPr="00205E1C">
        <w:rPr>
          <w:b/>
          <w:bCs/>
          <w:sz w:val="21"/>
          <w:szCs w:val="21"/>
        </w:rPr>
        <w:t>Agenda</w:t>
      </w:r>
      <w:r w:rsidR="00EB6624" w:rsidRPr="00205E1C">
        <w:rPr>
          <w:b/>
          <w:bCs/>
          <w:sz w:val="21"/>
          <w:szCs w:val="21"/>
        </w:rPr>
        <w:t>: Delivering quality care more efficiently</w:t>
      </w:r>
      <w:r w:rsidR="00F87EE1">
        <w:rPr>
          <w:b/>
          <w:bCs/>
          <w:sz w:val="21"/>
          <w:szCs w:val="21"/>
        </w:rPr>
        <w:t>.</w:t>
      </w:r>
    </w:p>
    <w:p w14:paraId="7D37F90A" w14:textId="57A3A6E1" w:rsidR="00D156F4" w:rsidRPr="00200605" w:rsidRDefault="00F87EE1" w:rsidP="00200605">
      <w:pPr>
        <w:spacing w:after="120" w:line="240" w:lineRule="auto"/>
        <w:rPr>
          <w:sz w:val="21"/>
          <w:szCs w:val="21"/>
        </w:rPr>
      </w:pPr>
      <w:r>
        <w:rPr>
          <w:sz w:val="21"/>
          <w:szCs w:val="21"/>
        </w:rPr>
        <w:t>Contact</w:t>
      </w:r>
      <w:r w:rsidR="00771297" w:rsidRPr="00200605">
        <w:rPr>
          <w:sz w:val="21"/>
          <w:szCs w:val="21"/>
        </w:rPr>
        <w:t xml:space="preserve">: Leanne Raven, CEO, </w:t>
      </w:r>
      <w:hyperlink r:id="rId12" w:history="1">
        <w:r w:rsidR="00CA662F" w:rsidRPr="00092145">
          <w:rPr>
            <w:rStyle w:val="Hyperlink"/>
            <w:sz w:val="21"/>
            <w:szCs w:val="21"/>
          </w:rPr>
          <w:t>leanne@crohnsandcolitis.org.au</w:t>
        </w:r>
      </w:hyperlink>
      <w:r w:rsidR="003C7139">
        <w:rPr>
          <w:sz w:val="21"/>
          <w:szCs w:val="21"/>
        </w:rPr>
        <w:t>,</w:t>
      </w:r>
      <w:r w:rsidR="00CA662F">
        <w:rPr>
          <w:sz w:val="21"/>
          <w:szCs w:val="21"/>
        </w:rPr>
        <w:t xml:space="preserve"> </w:t>
      </w:r>
      <w:r w:rsidR="003C7139">
        <w:rPr>
          <w:sz w:val="21"/>
          <w:szCs w:val="21"/>
        </w:rPr>
        <w:t>0419348629.</w:t>
      </w:r>
    </w:p>
    <w:sectPr w:rsidR="00D156F4" w:rsidRPr="00200605" w:rsidSect="00E40453">
      <w:headerReference w:type="default" r:id="rId13"/>
      <w:pgSz w:w="11906" w:h="16838" w:code="9"/>
      <w:pgMar w:top="1440" w:right="1077" w:bottom="851" w:left="1077"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68AE2" w14:textId="77777777" w:rsidR="00520241" w:rsidRDefault="00520241" w:rsidP="00687198">
      <w:pPr>
        <w:spacing w:after="0" w:line="240" w:lineRule="auto"/>
      </w:pPr>
      <w:r>
        <w:separator/>
      </w:r>
    </w:p>
  </w:endnote>
  <w:endnote w:type="continuationSeparator" w:id="0">
    <w:p w14:paraId="72A2003A" w14:textId="77777777" w:rsidR="00520241" w:rsidRDefault="00520241" w:rsidP="00687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C26AB" w14:textId="77777777" w:rsidR="00520241" w:rsidRDefault="00520241" w:rsidP="00687198">
      <w:pPr>
        <w:spacing w:after="0" w:line="240" w:lineRule="auto"/>
      </w:pPr>
      <w:r>
        <w:separator/>
      </w:r>
    </w:p>
  </w:footnote>
  <w:footnote w:type="continuationSeparator" w:id="0">
    <w:p w14:paraId="6855273A" w14:textId="77777777" w:rsidR="00520241" w:rsidRDefault="00520241" w:rsidP="00687198">
      <w:pPr>
        <w:spacing w:after="0" w:line="240" w:lineRule="auto"/>
      </w:pPr>
      <w:r>
        <w:continuationSeparator/>
      </w:r>
    </w:p>
  </w:footnote>
  <w:footnote w:id="1">
    <w:p w14:paraId="791089AF" w14:textId="4A89F073" w:rsidR="00687198" w:rsidRPr="0013555E" w:rsidRDefault="00687198" w:rsidP="003E4147">
      <w:pPr>
        <w:pStyle w:val="FootnoteText"/>
        <w:rPr>
          <w:sz w:val="12"/>
          <w:szCs w:val="12"/>
        </w:rPr>
      </w:pPr>
      <w:r w:rsidRPr="0013555E">
        <w:rPr>
          <w:rStyle w:val="FootnoteReference"/>
          <w:sz w:val="12"/>
          <w:szCs w:val="12"/>
        </w:rPr>
        <w:footnoteRef/>
      </w:r>
      <w:r w:rsidRPr="0013555E">
        <w:rPr>
          <w:sz w:val="12"/>
          <w:szCs w:val="12"/>
        </w:rPr>
        <w:t xml:space="preserve"> </w:t>
      </w:r>
      <w:r w:rsidR="007F1F14" w:rsidRPr="0013555E">
        <w:rPr>
          <w:sz w:val="12"/>
          <w:szCs w:val="12"/>
        </w:rPr>
        <w:t xml:space="preserve">Australia Government </w:t>
      </w:r>
      <w:r w:rsidRPr="0013555E">
        <w:rPr>
          <w:sz w:val="12"/>
          <w:szCs w:val="12"/>
        </w:rPr>
        <w:t xml:space="preserve">Department of Health </w:t>
      </w:r>
      <w:r w:rsidR="007F1F14" w:rsidRPr="0013555E">
        <w:rPr>
          <w:sz w:val="12"/>
          <w:szCs w:val="12"/>
        </w:rPr>
        <w:t xml:space="preserve">and Aged Care. </w:t>
      </w:r>
      <w:r w:rsidRPr="0013555E">
        <w:rPr>
          <w:sz w:val="12"/>
          <w:szCs w:val="12"/>
        </w:rPr>
        <w:t>2025 Incoming Government Brief</w:t>
      </w:r>
      <w:r w:rsidR="007F1F14" w:rsidRPr="0013555E">
        <w:rPr>
          <w:sz w:val="12"/>
          <w:szCs w:val="12"/>
        </w:rPr>
        <w:t>.</w:t>
      </w:r>
      <w:r w:rsidR="003E4147" w:rsidRPr="0013555E">
        <w:rPr>
          <w:sz w:val="12"/>
          <w:szCs w:val="12"/>
        </w:rPr>
        <w:t xml:space="preserve"> FOI number: FOI 25-0413 LD/FOI 25-0418 LD/FOI 25-0423 LD</w:t>
      </w:r>
      <w:r w:rsidR="00650F8C" w:rsidRPr="0013555E">
        <w:rPr>
          <w:sz w:val="12"/>
          <w:szCs w:val="12"/>
        </w:rPr>
        <w:t>,</w:t>
      </w:r>
      <w:r w:rsidR="003E4147" w:rsidRPr="0013555E">
        <w:rPr>
          <w:sz w:val="12"/>
          <w:szCs w:val="12"/>
        </w:rPr>
        <w:t xml:space="preserve"> release date:</w:t>
      </w:r>
      <w:r w:rsidR="00650F8C" w:rsidRPr="0013555E">
        <w:rPr>
          <w:sz w:val="12"/>
          <w:szCs w:val="12"/>
        </w:rPr>
        <w:t xml:space="preserve"> </w:t>
      </w:r>
      <w:r w:rsidR="003E4147" w:rsidRPr="0013555E">
        <w:rPr>
          <w:sz w:val="12"/>
          <w:szCs w:val="12"/>
        </w:rPr>
        <w:t>26 June 2025</w:t>
      </w:r>
    </w:p>
  </w:footnote>
  <w:footnote w:id="2">
    <w:p w14:paraId="3BE55957" w14:textId="2F9AA80A" w:rsidR="007A0791" w:rsidRPr="007A0791" w:rsidRDefault="004F1415">
      <w:pPr>
        <w:pStyle w:val="FootnoteText"/>
        <w:rPr>
          <w:sz w:val="12"/>
          <w:szCs w:val="12"/>
          <w:lang w:val="en-US"/>
        </w:rPr>
      </w:pPr>
      <w:r w:rsidRPr="00A250AC">
        <w:rPr>
          <w:rStyle w:val="FootnoteReference"/>
          <w:sz w:val="12"/>
          <w:szCs w:val="12"/>
        </w:rPr>
        <w:footnoteRef/>
      </w:r>
      <w:r>
        <w:t xml:space="preserve"> </w:t>
      </w:r>
      <w:r w:rsidR="00B339A4" w:rsidRPr="003F3F23">
        <w:rPr>
          <w:sz w:val="12"/>
          <w:szCs w:val="12"/>
          <w:lang w:val="en-US"/>
        </w:rPr>
        <w:t>Insight Economics (2025)</w:t>
      </w:r>
      <w:r w:rsidR="00DC1C9A" w:rsidRPr="003F3F23">
        <w:rPr>
          <w:sz w:val="12"/>
          <w:szCs w:val="12"/>
          <w:lang w:val="en-US"/>
        </w:rPr>
        <w:t>, State of the nation in inflammatory Bowel Disease in Australia, Final Report 2025</w:t>
      </w:r>
      <w:r w:rsidR="003F3F23" w:rsidRPr="003F3F23">
        <w:rPr>
          <w:sz w:val="12"/>
          <w:szCs w:val="12"/>
          <w:lang w:val="en-US"/>
        </w:rPr>
        <w:t>,</w:t>
      </w:r>
      <w:r w:rsidR="00F75E91">
        <w:rPr>
          <w:sz w:val="12"/>
          <w:szCs w:val="12"/>
          <w:lang w:val="en-US"/>
        </w:rPr>
        <w:t xml:space="preserve"> prepared for Crohn’s &amp; Colitis Australia, available at:</w:t>
      </w:r>
      <w:r w:rsidR="003F3F23">
        <w:rPr>
          <w:lang w:val="en-US"/>
        </w:rPr>
        <w:t xml:space="preserve"> </w:t>
      </w:r>
      <w:hyperlink r:id="rId1" w:history="1">
        <w:r w:rsidR="007A0791" w:rsidRPr="00092145">
          <w:rPr>
            <w:rStyle w:val="Hyperlink"/>
            <w:sz w:val="12"/>
            <w:szCs w:val="12"/>
            <w:lang w:val="en-US"/>
          </w:rPr>
          <w:t>https://crohnsandcolitis.org.au/wp-content/uploads/2025/05/CCA_State-of-the-Nation-in-IBD-1.pdf</w:t>
        </w:r>
      </w:hyperlink>
    </w:p>
  </w:footnote>
  <w:footnote w:id="3">
    <w:p w14:paraId="3809EBF2" w14:textId="4E653E22" w:rsidR="00284799" w:rsidRPr="00284799" w:rsidRDefault="00284799">
      <w:pPr>
        <w:pStyle w:val="FootnoteText"/>
        <w:rPr>
          <w:sz w:val="12"/>
          <w:szCs w:val="12"/>
        </w:rPr>
      </w:pPr>
      <w:r w:rsidRPr="00284799">
        <w:rPr>
          <w:rStyle w:val="FootnoteReference"/>
          <w:sz w:val="12"/>
          <w:szCs w:val="12"/>
        </w:rPr>
        <w:footnoteRef/>
      </w:r>
      <w:r w:rsidRPr="00284799">
        <w:rPr>
          <w:sz w:val="12"/>
          <w:szCs w:val="12"/>
        </w:rPr>
        <w:t xml:space="preserve"> </w:t>
      </w:r>
      <w:r w:rsidRPr="00281D7F">
        <w:rPr>
          <w:i/>
          <w:iCs/>
          <w:sz w:val="12"/>
          <w:szCs w:val="12"/>
        </w:rPr>
        <w:t>Ibid.</w:t>
      </w:r>
      <w:r w:rsidRPr="00284799">
        <w:rPr>
          <w:sz w:val="12"/>
          <w:szCs w:val="12"/>
        </w:rPr>
        <w:t xml:space="preserve"> </w:t>
      </w:r>
    </w:p>
  </w:footnote>
  <w:footnote w:id="4">
    <w:p w14:paraId="13435CDA" w14:textId="77777777" w:rsidR="00205E1C" w:rsidRPr="00284799" w:rsidRDefault="00205E1C" w:rsidP="00205E1C">
      <w:pPr>
        <w:pStyle w:val="FootnoteText"/>
        <w:rPr>
          <w:sz w:val="12"/>
          <w:szCs w:val="12"/>
          <w:lang w:val="en-US"/>
        </w:rPr>
      </w:pPr>
      <w:r w:rsidRPr="00284799">
        <w:rPr>
          <w:rStyle w:val="FootnoteReference"/>
          <w:sz w:val="12"/>
          <w:szCs w:val="12"/>
        </w:rPr>
        <w:footnoteRef/>
      </w:r>
      <w:r w:rsidRPr="00284799">
        <w:rPr>
          <w:sz w:val="12"/>
          <w:szCs w:val="12"/>
        </w:rPr>
        <w:t xml:space="preserve"> Hracs, L., Windsor, J.W., Gorospe, J. et al. Global evolution of inflammatory bowel disease across epidemiologic stages. Nature 642, 458–466 (2025).</w:t>
      </w:r>
    </w:p>
  </w:footnote>
  <w:footnote w:id="5">
    <w:p w14:paraId="60BC9204" w14:textId="0F800786" w:rsidR="008C6F64" w:rsidRDefault="008C6F64">
      <w:pPr>
        <w:pStyle w:val="FootnoteText"/>
        <w:rPr>
          <w:sz w:val="12"/>
          <w:szCs w:val="12"/>
        </w:rPr>
      </w:pPr>
      <w:r>
        <w:rPr>
          <w:rStyle w:val="FootnoteReference"/>
        </w:rPr>
        <w:footnoteRef/>
      </w:r>
      <w:r>
        <w:t xml:space="preserve"> </w:t>
      </w:r>
      <w:r w:rsidR="009A019A" w:rsidRPr="008442F1">
        <w:rPr>
          <w:sz w:val="12"/>
          <w:szCs w:val="12"/>
        </w:rPr>
        <w:t xml:space="preserve">This program is based on Option </w:t>
      </w:r>
      <w:r w:rsidR="009A019A">
        <w:rPr>
          <w:sz w:val="12"/>
          <w:szCs w:val="12"/>
        </w:rPr>
        <w:t>3 (</w:t>
      </w:r>
      <w:r w:rsidR="009A019A" w:rsidRPr="00281D7F">
        <w:rPr>
          <w:sz w:val="12"/>
          <w:szCs w:val="12"/>
        </w:rPr>
        <w:t xml:space="preserve">Foundations and Targeted Program for Priority Populations) </w:t>
      </w:r>
      <w:r w:rsidR="009A019A" w:rsidRPr="008442F1">
        <w:rPr>
          <w:sz w:val="12"/>
          <w:szCs w:val="12"/>
        </w:rPr>
        <w:t xml:space="preserve">developed in a Business Case to the Australia Government submitted in January 2025. </w:t>
      </w:r>
      <w:r w:rsidR="009A019A" w:rsidRPr="00281D7F">
        <w:rPr>
          <w:sz w:val="12"/>
          <w:szCs w:val="12"/>
        </w:rPr>
        <w:t>See:</w:t>
      </w:r>
      <w:r w:rsidR="00A23646" w:rsidRPr="00A23646">
        <w:t xml:space="preserve"> </w:t>
      </w:r>
      <w:hyperlink r:id="rId2" w:history="1">
        <w:r w:rsidR="009253FE" w:rsidRPr="009253FE">
          <w:rPr>
            <w:rStyle w:val="Hyperlink"/>
            <w:sz w:val="12"/>
            <w:szCs w:val="12"/>
          </w:rPr>
          <w:t>https://consult.treasury.gov.au/pre-budget-submissions/2025-26/view/239</w:t>
        </w:r>
      </w:hyperlink>
      <w:r w:rsidR="009253FE" w:rsidRPr="009253FE">
        <w:rPr>
          <w:sz w:val="12"/>
          <w:szCs w:val="12"/>
        </w:rPr>
        <w:t xml:space="preserve">  </w:t>
      </w:r>
    </w:p>
    <w:p w14:paraId="209A7B58" w14:textId="77777777" w:rsidR="00DE12DB" w:rsidRPr="008C6F64" w:rsidRDefault="00DE12DB">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F62A" w14:textId="29F048F1" w:rsidR="00F774A1" w:rsidRDefault="00F774A1" w:rsidP="00F774A1">
    <w:pPr>
      <w:pStyle w:val="Header"/>
      <w:jc w:val="center"/>
    </w:pPr>
    <w:r w:rsidRPr="00F774A1">
      <w:rPr>
        <w:noProof/>
      </w:rPr>
      <w:drawing>
        <wp:inline distT="0" distB="0" distL="0" distR="0" wp14:anchorId="022B1488" wp14:editId="136BDA8B">
          <wp:extent cx="1045210" cy="546521"/>
          <wp:effectExtent l="0" t="0" r="2540" b="0"/>
          <wp:docPr id="1704252094" name="Picture 1" descr="A purpl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18174" name="Picture 1" descr="A purple and yellow logo&#10;&#10;AI-generated content may be incorrect."/>
                  <pic:cNvPicPr/>
                </pic:nvPicPr>
                <pic:blipFill>
                  <a:blip r:embed="rId1"/>
                  <a:stretch>
                    <a:fillRect/>
                  </a:stretch>
                </pic:blipFill>
                <pic:spPr>
                  <a:xfrm>
                    <a:off x="0" y="0"/>
                    <a:ext cx="1060548" cy="5545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47AA5"/>
    <w:multiLevelType w:val="hybridMultilevel"/>
    <w:tmpl w:val="5A5E1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C09706E"/>
    <w:multiLevelType w:val="hybridMultilevel"/>
    <w:tmpl w:val="F90A8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5051979">
    <w:abstractNumId w:val="0"/>
  </w:num>
  <w:num w:numId="2" w16cid:durableId="488982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1A"/>
    <w:rsid w:val="00003D8D"/>
    <w:rsid w:val="00016C62"/>
    <w:rsid w:val="00027AF1"/>
    <w:rsid w:val="00032138"/>
    <w:rsid w:val="00040993"/>
    <w:rsid w:val="00056213"/>
    <w:rsid w:val="00056BDB"/>
    <w:rsid w:val="00086075"/>
    <w:rsid w:val="00090479"/>
    <w:rsid w:val="000A3D4F"/>
    <w:rsid w:val="000B00AA"/>
    <w:rsid w:val="000C1F32"/>
    <w:rsid w:val="000C630D"/>
    <w:rsid w:val="000D531C"/>
    <w:rsid w:val="000F347B"/>
    <w:rsid w:val="000F749A"/>
    <w:rsid w:val="000F7B86"/>
    <w:rsid w:val="0010761A"/>
    <w:rsid w:val="00112E65"/>
    <w:rsid w:val="0011757B"/>
    <w:rsid w:val="00127349"/>
    <w:rsid w:val="0013084F"/>
    <w:rsid w:val="0013555E"/>
    <w:rsid w:val="0017148A"/>
    <w:rsid w:val="001765D3"/>
    <w:rsid w:val="00177ECF"/>
    <w:rsid w:val="00183311"/>
    <w:rsid w:val="001B318A"/>
    <w:rsid w:val="001C5192"/>
    <w:rsid w:val="001C57ED"/>
    <w:rsid w:val="001D4B8A"/>
    <w:rsid w:val="00200605"/>
    <w:rsid w:val="00202343"/>
    <w:rsid w:val="00205E1C"/>
    <w:rsid w:val="00221244"/>
    <w:rsid w:val="002229CE"/>
    <w:rsid w:val="00225F01"/>
    <w:rsid w:val="00254A0E"/>
    <w:rsid w:val="00265EA0"/>
    <w:rsid w:val="00281D7F"/>
    <w:rsid w:val="00284799"/>
    <w:rsid w:val="00286199"/>
    <w:rsid w:val="002D0AF1"/>
    <w:rsid w:val="002D428F"/>
    <w:rsid w:val="002F4D3F"/>
    <w:rsid w:val="00306ABA"/>
    <w:rsid w:val="00312C4F"/>
    <w:rsid w:val="00337914"/>
    <w:rsid w:val="00341909"/>
    <w:rsid w:val="003565B5"/>
    <w:rsid w:val="00374EB0"/>
    <w:rsid w:val="00383CDD"/>
    <w:rsid w:val="003936C4"/>
    <w:rsid w:val="00394A21"/>
    <w:rsid w:val="0039533E"/>
    <w:rsid w:val="00397800"/>
    <w:rsid w:val="00397B80"/>
    <w:rsid w:val="003A3610"/>
    <w:rsid w:val="003A489E"/>
    <w:rsid w:val="003A6D8E"/>
    <w:rsid w:val="003B47A2"/>
    <w:rsid w:val="003C0091"/>
    <w:rsid w:val="003C1024"/>
    <w:rsid w:val="003C20A6"/>
    <w:rsid w:val="003C7139"/>
    <w:rsid w:val="003D1FAE"/>
    <w:rsid w:val="003E4147"/>
    <w:rsid w:val="003F3F23"/>
    <w:rsid w:val="0040384B"/>
    <w:rsid w:val="00426F76"/>
    <w:rsid w:val="00435749"/>
    <w:rsid w:val="00444BC5"/>
    <w:rsid w:val="00451A0B"/>
    <w:rsid w:val="00456606"/>
    <w:rsid w:val="00457802"/>
    <w:rsid w:val="004767C8"/>
    <w:rsid w:val="00481728"/>
    <w:rsid w:val="00493ADA"/>
    <w:rsid w:val="004A2508"/>
    <w:rsid w:val="004B0428"/>
    <w:rsid w:val="004B727C"/>
    <w:rsid w:val="004D0B8B"/>
    <w:rsid w:val="004D0EC1"/>
    <w:rsid w:val="004E3185"/>
    <w:rsid w:val="004E3A13"/>
    <w:rsid w:val="004E51E6"/>
    <w:rsid w:val="004E699C"/>
    <w:rsid w:val="004F03A9"/>
    <w:rsid w:val="004F09FE"/>
    <w:rsid w:val="004F1415"/>
    <w:rsid w:val="004F764F"/>
    <w:rsid w:val="005011F2"/>
    <w:rsid w:val="005145C0"/>
    <w:rsid w:val="005177DD"/>
    <w:rsid w:val="00520241"/>
    <w:rsid w:val="00556869"/>
    <w:rsid w:val="0056444E"/>
    <w:rsid w:val="0057246F"/>
    <w:rsid w:val="00596615"/>
    <w:rsid w:val="005B2277"/>
    <w:rsid w:val="005B320E"/>
    <w:rsid w:val="005C1239"/>
    <w:rsid w:val="005C64B5"/>
    <w:rsid w:val="005D7F63"/>
    <w:rsid w:val="005E1ACF"/>
    <w:rsid w:val="005E247A"/>
    <w:rsid w:val="005E3C3C"/>
    <w:rsid w:val="005F0F15"/>
    <w:rsid w:val="00602530"/>
    <w:rsid w:val="00603A2A"/>
    <w:rsid w:val="0062372A"/>
    <w:rsid w:val="00625735"/>
    <w:rsid w:val="0063434F"/>
    <w:rsid w:val="0064537B"/>
    <w:rsid w:val="00650F8C"/>
    <w:rsid w:val="006608AB"/>
    <w:rsid w:val="00672674"/>
    <w:rsid w:val="00676F7E"/>
    <w:rsid w:val="00677073"/>
    <w:rsid w:val="0068104C"/>
    <w:rsid w:val="006840FE"/>
    <w:rsid w:val="00687198"/>
    <w:rsid w:val="006A3D21"/>
    <w:rsid w:val="006A793E"/>
    <w:rsid w:val="006D1EC9"/>
    <w:rsid w:val="006D4408"/>
    <w:rsid w:val="006D580F"/>
    <w:rsid w:val="006E7C0A"/>
    <w:rsid w:val="006F562E"/>
    <w:rsid w:val="00720574"/>
    <w:rsid w:val="00724871"/>
    <w:rsid w:val="007261A1"/>
    <w:rsid w:val="00744F59"/>
    <w:rsid w:val="007516EC"/>
    <w:rsid w:val="00754CC0"/>
    <w:rsid w:val="00754DC3"/>
    <w:rsid w:val="00757C02"/>
    <w:rsid w:val="0076253F"/>
    <w:rsid w:val="00765EBA"/>
    <w:rsid w:val="00771297"/>
    <w:rsid w:val="007A0791"/>
    <w:rsid w:val="007B654C"/>
    <w:rsid w:val="007E7DC8"/>
    <w:rsid w:val="007F1F14"/>
    <w:rsid w:val="00817458"/>
    <w:rsid w:val="00827B4C"/>
    <w:rsid w:val="008442F1"/>
    <w:rsid w:val="00857727"/>
    <w:rsid w:val="00876653"/>
    <w:rsid w:val="008938FC"/>
    <w:rsid w:val="008A59B9"/>
    <w:rsid w:val="008C6F64"/>
    <w:rsid w:val="008E1194"/>
    <w:rsid w:val="008F300A"/>
    <w:rsid w:val="009036B4"/>
    <w:rsid w:val="0090738F"/>
    <w:rsid w:val="0091078F"/>
    <w:rsid w:val="00915C52"/>
    <w:rsid w:val="00921B22"/>
    <w:rsid w:val="009253FE"/>
    <w:rsid w:val="00925842"/>
    <w:rsid w:val="00946E31"/>
    <w:rsid w:val="009478D3"/>
    <w:rsid w:val="00950A07"/>
    <w:rsid w:val="00953601"/>
    <w:rsid w:val="0095539B"/>
    <w:rsid w:val="00963DAA"/>
    <w:rsid w:val="00967BE7"/>
    <w:rsid w:val="00967F86"/>
    <w:rsid w:val="009741B0"/>
    <w:rsid w:val="009778A0"/>
    <w:rsid w:val="009918CE"/>
    <w:rsid w:val="009A019A"/>
    <w:rsid w:val="009A1E13"/>
    <w:rsid w:val="009A602C"/>
    <w:rsid w:val="009B1FE8"/>
    <w:rsid w:val="009B32A5"/>
    <w:rsid w:val="009D619C"/>
    <w:rsid w:val="00A103CF"/>
    <w:rsid w:val="00A23646"/>
    <w:rsid w:val="00A250AC"/>
    <w:rsid w:val="00A327CC"/>
    <w:rsid w:val="00A36D8F"/>
    <w:rsid w:val="00A51CD3"/>
    <w:rsid w:val="00A5274D"/>
    <w:rsid w:val="00A903BE"/>
    <w:rsid w:val="00AA4C2D"/>
    <w:rsid w:val="00AB5C09"/>
    <w:rsid w:val="00AD18DD"/>
    <w:rsid w:val="00AE2927"/>
    <w:rsid w:val="00AF0911"/>
    <w:rsid w:val="00AF56E3"/>
    <w:rsid w:val="00B12545"/>
    <w:rsid w:val="00B22246"/>
    <w:rsid w:val="00B23172"/>
    <w:rsid w:val="00B243D0"/>
    <w:rsid w:val="00B339A4"/>
    <w:rsid w:val="00B345E8"/>
    <w:rsid w:val="00B34D4C"/>
    <w:rsid w:val="00B3765F"/>
    <w:rsid w:val="00B378A4"/>
    <w:rsid w:val="00B441DA"/>
    <w:rsid w:val="00B4637E"/>
    <w:rsid w:val="00B650A2"/>
    <w:rsid w:val="00B7328D"/>
    <w:rsid w:val="00B96C62"/>
    <w:rsid w:val="00BA20EA"/>
    <w:rsid w:val="00BA359F"/>
    <w:rsid w:val="00BB11C1"/>
    <w:rsid w:val="00BD73D6"/>
    <w:rsid w:val="00C01F09"/>
    <w:rsid w:val="00C10268"/>
    <w:rsid w:val="00C1571E"/>
    <w:rsid w:val="00C22DAF"/>
    <w:rsid w:val="00C23076"/>
    <w:rsid w:val="00C3794C"/>
    <w:rsid w:val="00C510E7"/>
    <w:rsid w:val="00C525AE"/>
    <w:rsid w:val="00C559F6"/>
    <w:rsid w:val="00C7685E"/>
    <w:rsid w:val="00C90A2C"/>
    <w:rsid w:val="00C93DD7"/>
    <w:rsid w:val="00C953F3"/>
    <w:rsid w:val="00C96DFA"/>
    <w:rsid w:val="00CA662F"/>
    <w:rsid w:val="00CA7AEC"/>
    <w:rsid w:val="00CC58DF"/>
    <w:rsid w:val="00CC7462"/>
    <w:rsid w:val="00CE210A"/>
    <w:rsid w:val="00CF5AED"/>
    <w:rsid w:val="00CF61F2"/>
    <w:rsid w:val="00D03FE5"/>
    <w:rsid w:val="00D156F4"/>
    <w:rsid w:val="00D1680B"/>
    <w:rsid w:val="00D17420"/>
    <w:rsid w:val="00D27F51"/>
    <w:rsid w:val="00D31084"/>
    <w:rsid w:val="00D34D51"/>
    <w:rsid w:val="00D37F09"/>
    <w:rsid w:val="00D4287C"/>
    <w:rsid w:val="00D74128"/>
    <w:rsid w:val="00D94082"/>
    <w:rsid w:val="00DA1357"/>
    <w:rsid w:val="00DA3115"/>
    <w:rsid w:val="00DC1C9A"/>
    <w:rsid w:val="00DC23A2"/>
    <w:rsid w:val="00DC7BBA"/>
    <w:rsid w:val="00DD1935"/>
    <w:rsid w:val="00DE12DB"/>
    <w:rsid w:val="00DE55CE"/>
    <w:rsid w:val="00DE7FA9"/>
    <w:rsid w:val="00E31F85"/>
    <w:rsid w:val="00E40453"/>
    <w:rsid w:val="00E50CE2"/>
    <w:rsid w:val="00E62F20"/>
    <w:rsid w:val="00E64E30"/>
    <w:rsid w:val="00E6519A"/>
    <w:rsid w:val="00E71AED"/>
    <w:rsid w:val="00EA26B8"/>
    <w:rsid w:val="00EA3369"/>
    <w:rsid w:val="00EB0D5E"/>
    <w:rsid w:val="00EB6624"/>
    <w:rsid w:val="00EB6766"/>
    <w:rsid w:val="00EC13F3"/>
    <w:rsid w:val="00EC546C"/>
    <w:rsid w:val="00EE16DD"/>
    <w:rsid w:val="00EE4D97"/>
    <w:rsid w:val="00F17A76"/>
    <w:rsid w:val="00F24DC6"/>
    <w:rsid w:val="00F41B2D"/>
    <w:rsid w:val="00F6680B"/>
    <w:rsid w:val="00F66A37"/>
    <w:rsid w:val="00F67EA2"/>
    <w:rsid w:val="00F75E91"/>
    <w:rsid w:val="00F774A1"/>
    <w:rsid w:val="00F87EE1"/>
    <w:rsid w:val="00FA0F3F"/>
    <w:rsid w:val="00FB7B51"/>
    <w:rsid w:val="00FC5D43"/>
    <w:rsid w:val="00FE5475"/>
    <w:rsid w:val="00FE58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E1E3A"/>
  <w15:chartTrackingRefBased/>
  <w15:docId w15:val="{E0F4FC72-467C-4B6E-BF93-3C97CC15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61A"/>
    <w:rPr>
      <w:rFonts w:eastAsiaTheme="majorEastAsia" w:cstheme="majorBidi"/>
      <w:color w:val="272727" w:themeColor="text1" w:themeTint="D8"/>
    </w:rPr>
  </w:style>
  <w:style w:type="paragraph" w:styleId="Title">
    <w:name w:val="Title"/>
    <w:basedOn w:val="Normal"/>
    <w:next w:val="Normal"/>
    <w:link w:val="TitleChar"/>
    <w:uiPriority w:val="10"/>
    <w:qFormat/>
    <w:rsid w:val="00107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61A"/>
    <w:pPr>
      <w:spacing w:before="160"/>
      <w:jc w:val="center"/>
    </w:pPr>
    <w:rPr>
      <w:i/>
      <w:iCs/>
      <w:color w:val="404040" w:themeColor="text1" w:themeTint="BF"/>
    </w:rPr>
  </w:style>
  <w:style w:type="character" w:customStyle="1" w:styleId="QuoteChar">
    <w:name w:val="Quote Char"/>
    <w:basedOn w:val="DefaultParagraphFont"/>
    <w:link w:val="Quote"/>
    <w:uiPriority w:val="29"/>
    <w:rsid w:val="0010761A"/>
    <w:rPr>
      <w:i/>
      <w:iCs/>
      <w:color w:val="404040" w:themeColor="text1" w:themeTint="BF"/>
    </w:rPr>
  </w:style>
  <w:style w:type="paragraph" w:styleId="ListParagraph">
    <w:name w:val="List Paragraph"/>
    <w:basedOn w:val="Normal"/>
    <w:uiPriority w:val="34"/>
    <w:qFormat/>
    <w:rsid w:val="0010761A"/>
    <w:pPr>
      <w:ind w:left="720"/>
      <w:contextualSpacing/>
    </w:pPr>
  </w:style>
  <w:style w:type="character" w:styleId="IntenseEmphasis">
    <w:name w:val="Intense Emphasis"/>
    <w:basedOn w:val="DefaultParagraphFont"/>
    <w:uiPriority w:val="21"/>
    <w:qFormat/>
    <w:rsid w:val="0010761A"/>
    <w:rPr>
      <w:i/>
      <w:iCs/>
      <w:color w:val="0F4761" w:themeColor="accent1" w:themeShade="BF"/>
    </w:rPr>
  </w:style>
  <w:style w:type="paragraph" w:styleId="IntenseQuote">
    <w:name w:val="Intense Quote"/>
    <w:basedOn w:val="Normal"/>
    <w:next w:val="Normal"/>
    <w:link w:val="IntenseQuoteChar"/>
    <w:uiPriority w:val="30"/>
    <w:qFormat/>
    <w:rsid w:val="00107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61A"/>
    <w:rPr>
      <w:i/>
      <w:iCs/>
      <w:color w:val="0F4761" w:themeColor="accent1" w:themeShade="BF"/>
    </w:rPr>
  </w:style>
  <w:style w:type="character" w:styleId="IntenseReference">
    <w:name w:val="Intense Reference"/>
    <w:basedOn w:val="DefaultParagraphFont"/>
    <w:uiPriority w:val="32"/>
    <w:qFormat/>
    <w:rsid w:val="0010761A"/>
    <w:rPr>
      <w:b/>
      <w:bCs/>
      <w:smallCaps/>
      <w:color w:val="0F4761" w:themeColor="accent1" w:themeShade="BF"/>
      <w:spacing w:val="5"/>
    </w:rPr>
  </w:style>
  <w:style w:type="paragraph" w:styleId="FootnoteText">
    <w:name w:val="footnote text"/>
    <w:basedOn w:val="Normal"/>
    <w:link w:val="FootnoteTextChar"/>
    <w:uiPriority w:val="99"/>
    <w:semiHidden/>
    <w:unhideWhenUsed/>
    <w:rsid w:val="006871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7198"/>
    <w:rPr>
      <w:sz w:val="20"/>
      <w:szCs w:val="20"/>
    </w:rPr>
  </w:style>
  <w:style w:type="character" w:styleId="FootnoteReference">
    <w:name w:val="footnote reference"/>
    <w:basedOn w:val="DefaultParagraphFont"/>
    <w:uiPriority w:val="99"/>
    <w:semiHidden/>
    <w:unhideWhenUsed/>
    <w:rsid w:val="00687198"/>
    <w:rPr>
      <w:vertAlign w:val="superscript"/>
    </w:rPr>
  </w:style>
  <w:style w:type="paragraph" w:styleId="Header">
    <w:name w:val="header"/>
    <w:basedOn w:val="Normal"/>
    <w:link w:val="HeaderChar"/>
    <w:uiPriority w:val="99"/>
    <w:unhideWhenUsed/>
    <w:rsid w:val="00EC1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3F3"/>
  </w:style>
  <w:style w:type="paragraph" w:styleId="Footer">
    <w:name w:val="footer"/>
    <w:basedOn w:val="Normal"/>
    <w:link w:val="FooterChar"/>
    <w:uiPriority w:val="99"/>
    <w:unhideWhenUsed/>
    <w:rsid w:val="00EC1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3F3"/>
  </w:style>
  <w:style w:type="character" w:styleId="CommentReference">
    <w:name w:val="annotation reference"/>
    <w:basedOn w:val="DefaultParagraphFont"/>
    <w:uiPriority w:val="99"/>
    <w:semiHidden/>
    <w:unhideWhenUsed/>
    <w:rsid w:val="00086075"/>
    <w:rPr>
      <w:sz w:val="16"/>
      <w:szCs w:val="16"/>
    </w:rPr>
  </w:style>
  <w:style w:type="paragraph" w:styleId="CommentText">
    <w:name w:val="annotation text"/>
    <w:basedOn w:val="Normal"/>
    <w:link w:val="CommentTextChar"/>
    <w:uiPriority w:val="99"/>
    <w:unhideWhenUsed/>
    <w:rsid w:val="00086075"/>
    <w:pPr>
      <w:spacing w:line="240" w:lineRule="auto"/>
    </w:pPr>
    <w:rPr>
      <w:sz w:val="20"/>
      <w:szCs w:val="20"/>
    </w:rPr>
  </w:style>
  <w:style w:type="character" w:customStyle="1" w:styleId="CommentTextChar">
    <w:name w:val="Comment Text Char"/>
    <w:basedOn w:val="DefaultParagraphFont"/>
    <w:link w:val="CommentText"/>
    <w:uiPriority w:val="99"/>
    <w:rsid w:val="00086075"/>
    <w:rPr>
      <w:sz w:val="20"/>
      <w:szCs w:val="20"/>
    </w:rPr>
  </w:style>
  <w:style w:type="paragraph" w:styleId="CommentSubject">
    <w:name w:val="annotation subject"/>
    <w:basedOn w:val="CommentText"/>
    <w:next w:val="CommentText"/>
    <w:link w:val="CommentSubjectChar"/>
    <w:uiPriority w:val="99"/>
    <w:semiHidden/>
    <w:unhideWhenUsed/>
    <w:rsid w:val="00086075"/>
    <w:rPr>
      <w:b/>
      <w:bCs/>
    </w:rPr>
  </w:style>
  <w:style w:type="character" w:customStyle="1" w:styleId="CommentSubjectChar">
    <w:name w:val="Comment Subject Char"/>
    <w:basedOn w:val="CommentTextChar"/>
    <w:link w:val="CommentSubject"/>
    <w:uiPriority w:val="99"/>
    <w:semiHidden/>
    <w:rsid w:val="00086075"/>
    <w:rPr>
      <w:b/>
      <w:bCs/>
      <w:sz w:val="20"/>
      <w:szCs w:val="20"/>
    </w:rPr>
  </w:style>
  <w:style w:type="paragraph" w:styleId="Revision">
    <w:name w:val="Revision"/>
    <w:hidden/>
    <w:uiPriority w:val="99"/>
    <w:semiHidden/>
    <w:rsid w:val="006840FE"/>
    <w:pPr>
      <w:spacing w:after="0" w:line="240" w:lineRule="auto"/>
    </w:pPr>
  </w:style>
  <w:style w:type="character" w:styleId="Hyperlink">
    <w:name w:val="Hyperlink"/>
    <w:basedOn w:val="DefaultParagraphFont"/>
    <w:uiPriority w:val="99"/>
    <w:unhideWhenUsed/>
    <w:rsid w:val="00DE12DB"/>
    <w:rPr>
      <w:color w:val="467886" w:themeColor="hyperlink"/>
      <w:u w:val="single"/>
    </w:rPr>
  </w:style>
  <w:style w:type="character" w:styleId="UnresolvedMention">
    <w:name w:val="Unresolved Mention"/>
    <w:basedOn w:val="DefaultParagraphFont"/>
    <w:uiPriority w:val="99"/>
    <w:semiHidden/>
    <w:unhideWhenUsed/>
    <w:rsid w:val="00DE12DB"/>
    <w:rPr>
      <w:color w:val="605E5C"/>
      <w:shd w:val="clear" w:color="auto" w:fill="E1DFDD"/>
    </w:rPr>
  </w:style>
  <w:style w:type="character" w:styleId="FollowedHyperlink">
    <w:name w:val="FollowedHyperlink"/>
    <w:basedOn w:val="DefaultParagraphFont"/>
    <w:uiPriority w:val="99"/>
    <w:semiHidden/>
    <w:unhideWhenUsed/>
    <w:rsid w:val="00A250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anne@crohnsandcolitis.org.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onsult.treasury.gov.au/pre-budget-submissions/2025-26/view/239" TargetMode="External"/><Relationship Id="rId1" Type="http://schemas.openxmlformats.org/officeDocument/2006/relationships/hyperlink" Target="https://crohnsandcolitis.org.au/wp-content/uploads/2025/05/CCA_State-of-the-Nation-in-IBD-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2fcd80-2c55-4933-b9e1-b283dbca5c21">
      <Terms xmlns="http://schemas.microsoft.com/office/infopath/2007/PartnerControls"/>
    </lcf76f155ced4ddcb4097134ff3c332f>
    <TaxCatchAll xmlns="c3fa3e28-3068-4496-87bf-5adb7f7e8c9a" xsi:nil="true"/>
    <_Flow_SignoffStatus xmlns="472fcd80-2c55-4933-b9e1-b283dbca5c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665CBB6077524694D0474DFD6E02D8" ma:contentTypeVersion="20" ma:contentTypeDescription="Create a new document." ma:contentTypeScope="" ma:versionID="7ae60123474a7507b493f2e76dd403a3">
  <xsd:schema xmlns:xsd="http://www.w3.org/2001/XMLSchema" xmlns:xs="http://www.w3.org/2001/XMLSchema" xmlns:p="http://schemas.microsoft.com/office/2006/metadata/properties" xmlns:ns2="c3fa3e28-3068-4496-87bf-5adb7f7e8c9a" xmlns:ns3="472fcd80-2c55-4933-b9e1-b283dbca5c21" targetNamespace="http://schemas.microsoft.com/office/2006/metadata/properties" ma:root="true" ma:fieldsID="9a778ba4b347b17ef689e3aeb82c9f51" ns2:_="" ns3:_="">
    <xsd:import namespace="c3fa3e28-3068-4496-87bf-5adb7f7e8c9a"/>
    <xsd:import namespace="472fcd80-2c55-4933-b9e1-b283dbca5c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_Flow_SignoffStatu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a3e28-3068-4496-87bf-5adb7f7e8c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77fbd4a-751c-4523-9795-0e97dd50706e}" ma:internalName="TaxCatchAll" ma:showField="CatchAllData" ma:web="c3fa3e28-3068-4496-87bf-5adb7f7e8c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2fcd80-2c55-4933-b9e1-b283dbca5c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ee54d-ef8c-423f-96a5-82a614325e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3CF65-D1A9-4AE5-8B48-DF0A6CBEC0EA}">
  <ds:schemaRefs>
    <ds:schemaRef ds:uri="http://schemas.microsoft.com/sharepoint/v3/contenttype/forms"/>
  </ds:schemaRefs>
</ds:datastoreItem>
</file>

<file path=customXml/itemProps2.xml><?xml version="1.0" encoding="utf-8"?>
<ds:datastoreItem xmlns:ds="http://schemas.openxmlformats.org/officeDocument/2006/customXml" ds:itemID="{A17E4A76-DF7E-4FFF-85F6-0A005C23992C}">
  <ds:schemaRefs>
    <ds:schemaRef ds:uri="http://schemas.microsoft.com/office/2006/metadata/properties"/>
    <ds:schemaRef ds:uri="http://schemas.microsoft.com/office/infopath/2007/PartnerControls"/>
    <ds:schemaRef ds:uri="472fcd80-2c55-4933-b9e1-b283dbca5c21"/>
    <ds:schemaRef ds:uri="c3fa3e28-3068-4496-87bf-5adb7f7e8c9a"/>
  </ds:schemaRefs>
</ds:datastoreItem>
</file>

<file path=customXml/itemProps3.xml><?xml version="1.0" encoding="utf-8"?>
<ds:datastoreItem xmlns:ds="http://schemas.openxmlformats.org/officeDocument/2006/customXml" ds:itemID="{00A1713D-9120-4B70-9EE0-D86695A99D61}">
  <ds:schemaRefs>
    <ds:schemaRef ds:uri="http://schemas.openxmlformats.org/officeDocument/2006/bibliography"/>
  </ds:schemaRefs>
</ds:datastoreItem>
</file>

<file path=customXml/itemProps4.xml><?xml version="1.0" encoding="utf-8"?>
<ds:datastoreItem xmlns:ds="http://schemas.openxmlformats.org/officeDocument/2006/customXml" ds:itemID="{3BF05A15-01A9-469F-A2FD-56D9E474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a3e28-3068-4496-87bf-5adb7f7e8c9a"/>
    <ds:schemaRef ds:uri="472fcd80-2c55-4933-b9e1-b283dbca5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1143</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Massuger</dc:creator>
  <cp:keywords/>
  <dc:description/>
  <cp:lastModifiedBy>Wayne Massuger</cp:lastModifiedBy>
  <cp:revision>5</cp:revision>
  <dcterms:created xsi:type="dcterms:W3CDTF">2025-07-25T00:05:00Z</dcterms:created>
  <dcterms:modified xsi:type="dcterms:W3CDTF">2025-08-21T06:00:00Z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0x01010025665CBB6077524694D0474DFD6E02D8</vt:lpwstr>
  </property>
  <property fmtid="{D5CDD505-2E9C-101B-9397-08002B2CF9AE}" pid="3" name="MediaServiceImageTags">
    <vt:lpwstr/>
  </property>
  <property fmtid="{D5CDD505-2E9C-101B-9397-08002B2CF9AE}" pid="4" name="GrammarlyDocumentId">
    <vt:lpwstr>21881bac-63e7-47b3-aa18-da4903e4c3b0</vt:lpwstr>
  </property>
</Properties>
</file>